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0561E6">
      <w:pPr>
        <w:overflowPunct w:val="0"/>
        <w:adjustRightInd/>
        <w:spacing w:line="240" w:lineRule="auto"/>
        <w:rPr>
          <w:rFonts w:ascii="方正仿宋_GBK" w:hAnsi="方正仿宋_GBK" w:cs="方正仿宋_GBK"/>
          <w:bCs/>
        </w:rPr>
      </w:pPr>
    </w:p>
    <w:p w14:paraId="45B7705A">
      <w:pPr>
        <w:overflowPunct w:val="0"/>
        <w:adjustRightInd/>
        <w:spacing w:line="240" w:lineRule="auto"/>
        <w:rPr>
          <w:rFonts w:ascii="方正仿宋_GBK" w:hAnsi="方正仿宋_GBK" w:cs="方正仿宋_GBK"/>
          <w:bCs/>
        </w:rPr>
      </w:pPr>
    </w:p>
    <w:p w14:paraId="0E68E3D1">
      <w:pPr>
        <w:overflowPunct w:val="0"/>
        <w:adjustRightInd/>
        <w:spacing w:line="240" w:lineRule="auto"/>
        <w:rPr>
          <w:rFonts w:ascii="方正仿宋_GBK" w:hAnsi="方正仿宋_GBK" w:cs="方正仿宋_GBK"/>
          <w:bCs/>
        </w:rPr>
      </w:pPr>
    </w:p>
    <w:p w14:paraId="7D82B414">
      <w:pPr>
        <w:overflowPunct w:val="0"/>
        <w:adjustRightInd/>
        <w:spacing w:line="240" w:lineRule="auto"/>
        <w:rPr>
          <w:bCs/>
        </w:rPr>
      </w:pPr>
    </w:p>
    <w:p w14:paraId="7FA0BC8A">
      <w:pPr>
        <w:overflowPunct w:val="0"/>
        <w:adjustRightInd/>
        <w:spacing w:line="240" w:lineRule="auto"/>
        <w:rPr>
          <w:bCs/>
        </w:rPr>
      </w:pPr>
      <w:r>
        <w:rPr>
          <w:bCs/>
          <w:i w:val="0"/>
          <w:iCs w:val="0"/>
        </w:rPr>
        <w:pict>
          <v:shape id="_x0000_s1038" o:spid="_x0000_s1038" o:spt="136" type="#_x0000_t136" style="position:absolute;left:0pt;margin-left:7.75pt;margin-top:4.8pt;height:53.85pt;width:425.2pt;z-index:251660288;mso-width-relative:page;mso-height-relative:page;" fillcolor="#FF0000" filled="t" stroked="t" coordsize="21600,21600" adj="10800">
            <v:path/>
            <v:fill on="t" color2="#FFFFFF" focussize="0,0"/>
            <v:stroke color="#FF0000"/>
            <v:imagedata o:title=""/>
            <o:lock v:ext="edit" aspectratio="f"/>
            <v:textpath on="t" fitshape="t" fitpath="t" trim="t" xscale="f" string="重庆市黔江区发展和改革委员会文件" style="font-family:方正小标宋_GBK;font-size:36pt;v-text-align:center;"/>
          </v:shape>
        </w:pict>
      </w:r>
    </w:p>
    <w:p w14:paraId="78FEA080">
      <w:pPr>
        <w:overflowPunct w:val="0"/>
        <w:adjustRightInd/>
        <w:spacing w:line="240" w:lineRule="auto"/>
        <w:jc w:val="center"/>
        <w:rPr>
          <w:rFonts w:eastAsia="宋体"/>
          <w:kern w:val="2"/>
        </w:rPr>
      </w:pPr>
    </w:p>
    <w:p w14:paraId="1CDC2D20">
      <w:pPr>
        <w:overflowPunct w:val="0"/>
        <w:adjustRightInd/>
        <w:spacing w:line="240" w:lineRule="auto"/>
        <w:rPr>
          <w:bCs/>
        </w:rPr>
      </w:pPr>
    </w:p>
    <w:p w14:paraId="42A9414E">
      <w:pPr>
        <w:adjustRightInd/>
        <w:spacing w:line="240" w:lineRule="auto"/>
        <w:jc w:val="center"/>
        <w:rPr>
          <w:i/>
          <w:iCs/>
        </w:rPr>
      </w:pPr>
    </w:p>
    <w:p w14:paraId="0FB03F15">
      <w:pPr>
        <w:adjustRightInd/>
        <w:spacing w:line="240" w:lineRule="auto"/>
        <w:jc w:val="center"/>
        <w:rPr>
          <w:rFonts w:eastAsia="宋体"/>
          <w:bCs/>
          <w:iCs/>
        </w:rPr>
      </w:pPr>
      <w:r>
        <w:rPr>
          <w:rFonts w:hint="eastAsia"/>
          <w:i w:val="0"/>
          <w:iCs w:val="0"/>
          <w:lang w:eastAsia="zh-CN"/>
        </w:rPr>
        <w:t>黔江发改委发〔2026〕</w:t>
      </w:r>
      <w:r>
        <w:rPr>
          <w:rFonts w:hint="eastAsia"/>
          <w:i w:val="0"/>
          <w:iCs w:val="0"/>
          <w:lang w:val="en-US" w:eastAsia="zh-CN"/>
        </w:rPr>
        <w:t>116</w:t>
      </w:r>
      <w:r>
        <w:rPr>
          <w:rFonts w:ascii="方正仿宋_GBK" w:hAnsi="方正仿宋_GBK" w:cs="方正仿宋_GBK"/>
          <w:i w:val="0"/>
          <w:iCs w:val="0"/>
        </w:rPr>
        <w:t>号</w:t>
      </w:r>
      <w:r>
        <w:rPr>
          <w:iCs/>
        </w:rPr>
        <w:pict>
          <v:rect id="_x0000_s1028" o:spid="_x0000_s1028" o:spt="1" style="position:absolute;left:0pt;margin-left:0pt;margin-top:25.95pt;height:2.25pt;width:442.2pt;z-index:251659264;mso-width-relative:page;mso-height-relative:page;" fillcolor="#FF0202" filled="t" stroked="f" coordsize="21600,21600">
            <v:path/>
            <v:fill on="t" focussize="0,0"/>
            <v:stroke on="f"/>
            <v:imagedata o:title=""/>
            <o:lock v:ext="edit"/>
            <v:textbox>
              <w:txbxContent>
                <w:p w14:paraId="1E9C08F3">
                  <w:pPr>
                    <w:jc w:val="center"/>
                  </w:pPr>
                </w:p>
              </w:txbxContent>
            </v:textbox>
          </v:rect>
        </w:pict>
      </w:r>
    </w:p>
    <w:p w14:paraId="4628620C">
      <w:pPr>
        <w:pStyle w:val="2"/>
      </w:pPr>
    </w:p>
    <w:p w14:paraId="08A6A1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5" w:lineRule="exact"/>
        <w:ind w:firstLine="0"/>
        <w:jc w:val="center"/>
        <w:textAlignment w:val="baseline"/>
        <w:rPr>
          <w:rFonts w:hint="eastAsia" w:eastAsia="方正小标宋_GBK"/>
          <w:bCs/>
          <w:kern w:val="2"/>
          <w:sz w:val="44"/>
          <w:szCs w:val="44"/>
        </w:rPr>
      </w:pPr>
      <w:r>
        <w:rPr>
          <w:rFonts w:hint="eastAsia" w:eastAsia="方正小标宋_GBK"/>
          <w:bCs/>
          <w:kern w:val="2"/>
          <w:sz w:val="44"/>
          <w:szCs w:val="44"/>
        </w:rPr>
        <w:t>重庆市黔江区发展和改革委员会</w:t>
      </w:r>
    </w:p>
    <w:p w14:paraId="253125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黔江区正阳隧道危岩带应急抢险治理</w:t>
      </w:r>
    </w:p>
    <w:p w14:paraId="682920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工程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投资概算的批复</w:t>
      </w:r>
    </w:p>
    <w:p w14:paraId="49642CDF">
      <w:pPr>
        <w:pStyle w:val="4"/>
      </w:pPr>
    </w:p>
    <w:p w14:paraId="345868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75" w:lineRule="exact"/>
        <w:jc w:val="left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区城管局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：</w:t>
      </w:r>
    </w:p>
    <w:p w14:paraId="2012F4C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75" w:lineRule="exact"/>
        <w:ind w:firstLine="632" w:firstLineChars="200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你单位《关于办理黔江区正阳隧道危岩带应急抢险治理工程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概算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审查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函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》（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黔江城市管理函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〔202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号）收悉，经重庆威中工程咨询有限公司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评审，结合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区政府投资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项目前期工作服务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中心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评审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意见，现将黔江区正阳隧道危岩带应急抢险治理工程（项目代码：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2511-500114-04-01-882445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投资概算批复如下：</w:t>
      </w:r>
    </w:p>
    <w:p w14:paraId="0C0C4671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pacing w:line="575" w:lineRule="exact"/>
        <w:ind w:firstLine="620" w:firstLineChars="196"/>
        <w:jc w:val="left"/>
        <w:textAlignment w:val="baseline"/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一、原则同意工程概算编制原则和标准。</w:t>
      </w:r>
    </w:p>
    <w:p w14:paraId="197AFE8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pacing w:line="575" w:lineRule="exact"/>
        <w:ind w:firstLine="632" w:firstLineChars="200"/>
        <w:textAlignment w:val="baseline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二、建设规模及主要建设内容：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对正阳一号隧道出口与正阳二号隧道出口之间公路长约60米设置钢筋混凝土棚洞。沿道路两侧共设置2排22根圆形柱（桩径1.5米、桩长13-16米，单排桩间距5.5米），在棚洞顶部设置缓冲回填组合结构，沿缓冲回填结构后缘及两侧设置C25混凝土排水沟，长约100米，桩基外侧恢复水沟长度约50米，在道路内侧边坡坡顶设置被动防护网等建设内容。</w:t>
      </w:r>
    </w:p>
    <w:p w14:paraId="6A8A6E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75" w:lineRule="exact"/>
        <w:ind w:firstLine="632" w:firstLineChars="200"/>
        <w:textAlignment w:val="baseline"/>
        <w:rPr>
          <w:rFonts w:hint="default" w:ascii="Times New Roman" w:hAnsi="Times New Roman" w:eastAsia="方正仿宋_GBK" w:cs="Times New Roman"/>
          <w:sz w:val="32"/>
          <w:szCs w:val="32"/>
          <w:lang w:val="zh-CN"/>
        </w:rPr>
      </w:pP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三、概算总投资及资金来源：概算总投资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为796.3万元，其中：工程费用620.3万元，工程建设其他费138.1万元，基本预备费37.9万元。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zh-CN"/>
        </w:rPr>
        <w:t>资金来源为一般债券资金，不足部分由业主自筹。</w:t>
      </w:r>
    </w:p>
    <w:p w14:paraId="32CE205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pacing w:line="575" w:lineRule="exact"/>
        <w:ind w:firstLine="632" w:firstLineChars="200"/>
        <w:textAlignment w:val="baseline"/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四、请据此进一步深化工程设计等前期工作，施工图严格根据经批准的初步设计确定的建设内容、规模和标准等实行限额设计，项目预算按照同口径控制在投资概算以内，并履行完善相关建设手续。要按照资金来源落实建设资金后开展下步工作，严禁新增政府隐性债务。要严格执行工程招投标制，合同管理制，工程监理制，切实加强工程管理，确保工程质量、进度和投资有效控制。</w:t>
      </w:r>
    </w:p>
    <w:p w14:paraId="27058F7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pacing w:line="575" w:lineRule="exact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2510CDC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75" w:lineRule="exact"/>
        <w:ind w:left="1580" w:leftChars="200" w:hanging="948" w:hangingChars="300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黔江区正阳隧道危岩带应急抢险治理工程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投资概算表</w:t>
      </w:r>
    </w:p>
    <w:p w14:paraId="2A81637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pacing w:line="575" w:lineRule="exact"/>
        <w:jc w:val="center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</w:t>
      </w:r>
    </w:p>
    <w:p w14:paraId="785EF37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pacing w:line="575" w:lineRule="exact"/>
        <w:jc w:val="center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</w:t>
      </w:r>
    </w:p>
    <w:p w14:paraId="4D51B9A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pacing w:line="575" w:lineRule="exact"/>
        <w:ind w:firstLine="4108" w:firstLineChars="1300"/>
        <w:jc w:val="left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重庆市黔江区发展和改革委员会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</w:p>
    <w:p w14:paraId="68E5D55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pacing w:line="575" w:lineRule="exact"/>
        <w:ind w:firstLine="643"/>
        <w:textAlignment w:val="baseline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</w:p>
    <w:p w14:paraId="756F4AC0">
      <w:pPr>
        <w:pStyle w:val="4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附件</w:t>
      </w:r>
    </w:p>
    <w:p w14:paraId="00FBEB7A">
      <w:pPr>
        <w:pStyle w:val="4"/>
        <w:spacing w:line="58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  <w:lang w:eastAsia="zh-CN"/>
        </w:rPr>
        <w:t>黔江区正阳隧道危岩带应急抢险治理工程</w:t>
      </w: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投</w:t>
      </w: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  <w:lang w:eastAsia="zh-CN"/>
        </w:rPr>
        <w:t>资概算表</w:t>
      </w:r>
    </w:p>
    <w:p w14:paraId="0283E069">
      <w:pPr>
        <w:pStyle w:val="4"/>
        <w:spacing w:line="580" w:lineRule="exact"/>
        <w:jc w:val="both"/>
        <w:rPr>
          <w:rFonts w:hint="eastAsia" w:ascii="方正仿宋_GBK" w:hAnsi="方正仿宋_GBK" w:cs="方正仿宋_GBK"/>
          <w:kern w:val="0"/>
          <w:sz w:val="24"/>
          <w:szCs w:val="2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 xml:space="preserve">                                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 xml:space="preserve"> </w:t>
      </w:r>
      <w:r>
        <w:rPr>
          <w:rFonts w:hint="eastAsia" w:ascii="方正小标宋_GBK" w:hAnsi="方正小标宋_GBK" w:eastAsia="方正小标宋_GBK" w:cs="方正小标宋_GBK"/>
          <w:kern w:val="0"/>
          <w:sz w:val="24"/>
          <w:szCs w:val="24"/>
        </w:rPr>
        <w:t xml:space="preserve"> </w:t>
      </w:r>
      <w:r>
        <w:rPr>
          <w:rFonts w:hint="eastAsia" w:ascii="方正仿宋_GBK" w:hAnsi="方正仿宋_GBK" w:cs="方正仿宋_GBK"/>
          <w:kern w:val="0"/>
          <w:sz w:val="24"/>
          <w:szCs w:val="24"/>
        </w:rPr>
        <w:t>单位：万</w:t>
      </w:r>
      <w:r>
        <w:rPr>
          <w:rFonts w:hint="eastAsia" w:ascii="方正仿宋_GBK" w:hAnsi="方正仿宋_GBK" w:cs="方正仿宋_GBK"/>
          <w:kern w:val="0"/>
          <w:sz w:val="24"/>
          <w:szCs w:val="24"/>
          <w:lang w:eastAsia="zh-CN"/>
        </w:rPr>
        <w:t>元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2760"/>
        <w:gridCol w:w="1425"/>
        <w:gridCol w:w="1650"/>
        <w:gridCol w:w="1905"/>
      </w:tblGrid>
      <w:tr w14:paraId="2B870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</w:trPr>
        <w:tc>
          <w:tcPr>
            <w:tcW w:w="1023" w:type="dxa"/>
            <w:noWrap w:val="0"/>
            <w:vAlign w:val="center"/>
          </w:tcPr>
          <w:p w14:paraId="65AE1E8A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黑体_GBK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30"/>
                <w:szCs w:val="30"/>
              </w:rPr>
              <w:t>序号</w:t>
            </w:r>
          </w:p>
        </w:tc>
        <w:tc>
          <w:tcPr>
            <w:tcW w:w="2760" w:type="dxa"/>
            <w:noWrap w:val="0"/>
            <w:vAlign w:val="center"/>
          </w:tcPr>
          <w:p w14:paraId="7D384CF8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黑体_GBK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30"/>
                <w:szCs w:val="30"/>
              </w:rPr>
              <w:t>名   称</w:t>
            </w:r>
          </w:p>
        </w:tc>
        <w:tc>
          <w:tcPr>
            <w:tcW w:w="1425" w:type="dxa"/>
            <w:noWrap w:val="0"/>
            <w:vAlign w:val="center"/>
          </w:tcPr>
          <w:p w14:paraId="0E90F73F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黑体_GBK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30"/>
                <w:szCs w:val="30"/>
                <w:lang w:eastAsia="zh-CN"/>
              </w:rPr>
              <w:t>规模</w:t>
            </w:r>
          </w:p>
        </w:tc>
        <w:tc>
          <w:tcPr>
            <w:tcW w:w="1650" w:type="dxa"/>
            <w:noWrap w:val="0"/>
            <w:vAlign w:val="center"/>
          </w:tcPr>
          <w:p w14:paraId="6D2CE439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黑体_GBK" w:cs="Times New Roman"/>
                <w:b/>
                <w:bCs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bCs/>
                <w:kern w:val="0"/>
                <w:sz w:val="22"/>
                <w:szCs w:val="22"/>
                <w:lang w:val="en-US" w:eastAsia="zh-CN" w:bidi="ar-SA"/>
              </w:rPr>
              <w:t xml:space="preserve">审核单价 </w:t>
            </w:r>
          </w:p>
          <w:p w14:paraId="556343C1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黑体_GBK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bCs/>
                <w:kern w:val="0"/>
                <w:sz w:val="22"/>
                <w:szCs w:val="22"/>
                <w:lang w:val="en-US" w:eastAsia="zh-CN" w:bidi="ar-SA"/>
              </w:rPr>
              <w:t>（或取费率）</w:t>
            </w:r>
          </w:p>
        </w:tc>
        <w:tc>
          <w:tcPr>
            <w:tcW w:w="1905" w:type="dxa"/>
            <w:noWrap w:val="0"/>
            <w:vAlign w:val="center"/>
          </w:tcPr>
          <w:p w14:paraId="423BB1A0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黑体_GBK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30"/>
                <w:szCs w:val="30"/>
              </w:rPr>
              <w:t>审核金额</w:t>
            </w:r>
          </w:p>
        </w:tc>
      </w:tr>
      <w:tr w14:paraId="66275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1023" w:type="dxa"/>
            <w:noWrap w:val="0"/>
            <w:vAlign w:val="center"/>
          </w:tcPr>
          <w:p w14:paraId="0A656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</w:p>
        </w:tc>
        <w:tc>
          <w:tcPr>
            <w:tcW w:w="2760" w:type="dxa"/>
            <w:noWrap w:val="0"/>
            <w:vAlign w:val="center"/>
          </w:tcPr>
          <w:p w14:paraId="191EF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工程费用</w:t>
            </w:r>
          </w:p>
        </w:tc>
        <w:tc>
          <w:tcPr>
            <w:tcW w:w="1425" w:type="dxa"/>
            <w:noWrap w:val="0"/>
            <w:vAlign w:val="center"/>
          </w:tcPr>
          <w:p w14:paraId="3EBF085D">
            <w:pPr>
              <w:jc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</w:p>
        </w:tc>
        <w:tc>
          <w:tcPr>
            <w:tcW w:w="1650" w:type="dxa"/>
            <w:noWrap w:val="0"/>
            <w:vAlign w:val="center"/>
          </w:tcPr>
          <w:p w14:paraId="2DBE7824">
            <w:pPr>
              <w:jc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</w:p>
        </w:tc>
        <w:tc>
          <w:tcPr>
            <w:tcW w:w="1905" w:type="dxa"/>
            <w:noWrap w:val="0"/>
            <w:vAlign w:val="center"/>
          </w:tcPr>
          <w:p w14:paraId="1446E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620.3 </w:t>
            </w:r>
          </w:p>
        </w:tc>
      </w:tr>
      <w:tr w14:paraId="1E74D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1023" w:type="dxa"/>
            <w:noWrap w:val="0"/>
            <w:vAlign w:val="center"/>
          </w:tcPr>
          <w:p w14:paraId="5B778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60" w:type="dxa"/>
            <w:noWrap w:val="0"/>
            <w:vAlign w:val="center"/>
          </w:tcPr>
          <w:p w14:paraId="5B19FC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建筑工程费</w:t>
            </w:r>
          </w:p>
        </w:tc>
        <w:tc>
          <w:tcPr>
            <w:tcW w:w="1425" w:type="dxa"/>
            <w:noWrap w:val="0"/>
            <w:vAlign w:val="center"/>
          </w:tcPr>
          <w:p w14:paraId="5D3932F4">
            <w:pPr>
              <w:jc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</w:p>
        </w:tc>
        <w:tc>
          <w:tcPr>
            <w:tcW w:w="1650" w:type="dxa"/>
            <w:noWrap w:val="0"/>
            <w:vAlign w:val="center"/>
          </w:tcPr>
          <w:p w14:paraId="0D2B459A">
            <w:pPr>
              <w:jc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</w:p>
        </w:tc>
        <w:tc>
          <w:tcPr>
            <w:tcW w:w="1905" w:type="dxa"/>
            <w:noWrap w:val="0"/>
            <w:vAlign w:val="center"/>
          </w:tcPr>
          <w:p w14:paraId="14515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620.3 </w:t>
            </w:r>
          </w:p>
        </w:tc>
      </w:tr>
      <w:tr w14:paraId="123F6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1023" w:type="dxa"/>
            <w:noWrap w:val="0"/>
            <w:vAlign w:val="center"/>
          </w:tcPr>
          <w:p w14:paraId="20A0B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</w:tc>
        <w:tc>
          <w:tcPr>
            <w:tcW w:w="2760" w:type="dxa"/>
            <w:noWrap w:val="0"/>
            <w:vAlign w:val="center"/>
          </w:tcPr>
          <w:p w14:paraId="5E62C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工程建设其他费用</w:t>
            </w:r>
          </w:p>
        </w:tc>
        <w:tc>
          <w:tcPr>
            <w:tcW w:w="1425" w:type="dxa"/>
            <w:noWrap w:val="0"/>
            <w:vAlign w:val="center"/>
          </w:tcPr>
          <w:p w14:paraId="5139DC62">
            <w:pPr>
              <w:jc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</w:p>
        </w:tc>
        <w:tc>
          <w:tcPr>
            <w:tcW w:w="1650" w:type="dxa"/>
            <w:noWrap w:val="0"/>
            <w:vAlign w:val="center"/>
          </w:tcPr>
          <w:p w14:paraId="5367FC1B">
            <w:pPr>
              <w:jc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</w:p>
        </w:tc>
        <w:tc>
          <w:tcPr>
            <w:tcW w:w="1905" w:type="dxa"/>
            <w:noWrap w:val="0"/>
            <w:vAlign w:val="center"/>
          </w:tcPr>
          <w:p w14:paraId="510E4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138.1 </w:t>
            </w:r>
          </w:p>
        </w:tc>
      </w:tr>
      <w:tr w14:paraId="31BDE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exact"/>
        </w:trPr>
        <w:tc>
          <w:tcPr>
            <w:tcW w:w="1023" w:type="dxa"/>
            <w:noWrap w:val="0"/>
            <w:vAlign w:val="center"/>
          </w:tcPr>
          <w:p w14:paraId="00E9E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60" w:type="dxa"/>
            <w:noWrap w:val="0"/>
            <w:vAlign w:val="center"/>
          </w:tcPr>
          <w:p w14:paraId="3DC686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建设管理费</w:t>
            </w:r>
          </w:p>
        </w:tc>
        <w:tc>
          <w:tcPr>
            <w:tcW w:w="1425" w:type="dxa"/>
            <w:noWrap w:val="0"/>
            <w:vAlign w:val="center"/>
          </w:tcPr>
          <w:p w14:paraId="149B4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1项</w:t>
            </w:r>
          </w:p>
        </w:tc>
        <w:tc>
          <w:tcPr>
            <w:tcW w:w="1650" w:type="dxa"/>
            <w:noWrap w:val="0"/>
            <w:vAlign w:val="center"/>
          </w:tcPr>
          <w:p w14:paraId="498C6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2%</w:t>
            </w:r>
          </w:p>
        </w:tc>
        <w:tc>
          <w:tcPr>
            <w:tcW w:w="1905" w:type="dxa"/>
            <w:noWrap w:val="0"/>
            <w:vAlign w:val="center"/>
          </w:tcPr>
          <w:p w14:paraId="63447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12.4 </w:t>
            </w:r>
          </w:p>
        </w:tc>
      </w:tr>
      <w:tr w14:paraId="48779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</w:trPr>
        <w:tc>
          <w:tcPr>
            <w:tcW w:w="1023" w:type="dxa"/>
            <w:noWrap w:val="0"/>
            <w:vAlign w:val="center"/>
          </w:tcPr>
          <w:p w14:paraId="6BD52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60" w:type="dxa"/>
            <w:noWrap w:val="0"/>
            <w:vAlign w:val="center"/>
          </w:tcPr>
          <w:p w14:paraId="34173B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工程监理费</w:t>
            </w:r>
          </w:p>
        </w:tc>
        <w:tc>
          <w:tcPr>
            <w:tcW w:w="1425" w:type="dxa"/>
            <w:noWrap w:val="0"/>
            <w:vAlign w:val="center"/>
          </w:tcPr>
          <w:p w14:paraId="5D325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1项</w:t>
            </w:r>
          </w:p>
        </w:tc>
        <w:tc>
          <w:tcPr>
            <w:tcW w:w="1650" w:type="dxa"/>
            <w:noWrap w:val="0"/>
            <w:vAlign w:val="center"/>
          </w:tcPr>
          <w:p w14:paraId="5CB1849E">
            <w:pPr>
              <w:jc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</w:p>
        </w:tc>
        <w:tc>
          <w:tcPr>
            <w:tcW w:w="1905" w:type="dxa"/>
            <w:noWrap w:val="0"/>
            <w:vAlign w:val="center"/>
          </w:tcPr>
          <w:p w14:paraId="33182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14.5 </w:t>
            </w:r>
          </w:p>
        </w:tc>
      </w:tr>
      <w:tr w14:paraId="62CC2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</w:trPr>
        <w:tc>
          <w:tcPr>
            <w:tcW w:w="1023" w:type="dxa"/>
            <w:noWrap w:val="0"/>
            <w:vAlign w:val="center"/>
          </w:tcPr>
          <w:p w14:paraId="7C920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760" w:type="dxa"/>
            <w:noWrap w:val="0"/>
            <w:vAlign w:val="center"/>
          </w:tcPr>
          <w:p w14:paraId="2BFFF2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工程勘查设计费</w:t>
            </w:r>
          </w:p>
        </w:tc>
        <w:tc>
          <w:tcPr>
            <w:tcW w:w="1425" w:type="dxa"/>
            <w:noWrap w:val="0"/>
            <w:vAlign w:val="center"/>
          </w:tcPr>
          <w:p w14:paraId="7D859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1项</w:t>
            </w:r>
          </w:p>
        </w:tc>
        <w:tc>
          <w:tcPr>
            <w:tcW w:w="1650" w:type="dxa"/>
            <w:noWrap w:val="0"/>
            <w:vAlign w:val="center"/>
          </w:tcPr>
          <w:p w14:paraId="6307462F">
            <w:pPr>
              <w:jc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</w:p>
        </w:tc>
        <w:tc>
          <w:tcPr>
            <w:tcW w:w="1905" w:type="dxa"/>
            <w:noWrap w:val="0"/>
            <w:vAlign w:val="center"/>
          </w:tcPr>
          <w:p w14:paraId="5A919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85.0 </w:t>
            </w:r>
          </w:p>
        </w:tc>
      </w:tr>
      <w:tr w14:paraId="24667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</w:trPr>
        <w:tc>
          <w:tcPr>
            <w:tcW w:w="1023" w:type="dxa"/>
            <w:noWrap w:val="0"/>
            <w:vAlign w:val="center"/>
          </w:tcPr>
          <w:p w14:paraId="7A27C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760" w:type="dxa"/>
            <w:noWrap w:val="0"/>
            <w:vAlign w:val="center"/>
          </w:tcPr>
          <w:p w14:paraId="31E0EE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咨询服务费</w:t>
            </w:r>
          </w:p>
        </w:tc>
        <w:tc>
          <w:tcPr>
            <w:tcW w:w="1425" w:type="dxa"/>
            <w:noWrap w:val="0"/>
            <w:vAlign w:val="center"/>
          </w:tcPr>
          <w:p w14:paraId="31476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1项</w:t>
            </w:r>
          </w:p>
        </w:tc>
        <w:tc>
          <w:tcPr>
            <w:tcW w:w="1650" w:type="dxa"/>
            <w:noWrap w:val="0"/>
            <w:vAlign w:val="center"/>
          </w:tcPr>
          <w:p w14:paraId="15388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累进制</w:t>
            </w:r>
          </w:p>
        </w:tc>
        <w:tc>
          <w:tcPr>
            <w:tcW w:w="1905" w:type="dxa"/>
            <w:noWrap w:val="0"/>
            <w:vAlign w:val="center"/>
          </w:tcPr>
          <w:p w14:paraId="3C7E3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9.6 </w:t>
            </w:r>
          </w:p>
        </w:tc>
      </w:tr>
      <w:tr w14:paraId="792D0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</w:trPr>
        <w:tc>
          <w:tcPr>
            <w:tcW w:w="1023" w:type="dxa"/>
            <w:noWrap w:val="0"/>
            <w:vAlign w:val="center"/>
          </w:tcPr>
          <w:p w14:paraId="1ABBF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760" w:type="dxa"/>
            <w:noWrap w:val="0"/>
            <w:vAlign w:val="center"/>
          </w:tcPr>
          <w:p w14:paraId="091D40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工程保险费</w:t>
            </w:r>
          </w:p>
        </w:tc>
        <w:tc>
          <w:tcPr>
            <w:tcW w:w="1425" w:type="dxa"/>
            <w:noWrap w:val="0"/>
            <w:vAlign w:val="center"/>
          </w:tcPr>
          <w:p w14:paraId="2CE3C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1项</w:t>
            </w:r>
          </w:p>
        </w:tc>
        <w:tc>
          <w:tcPr>
            <w:tcW w:w="1650" w:type="dxa"/>
            <w:noWrap w:val="0"/>
            <w:vAlign w:val="center"/>
          </w:tcPr>
          <w:p w14:paraId="096CC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0.45%</w:t>
            </w:r>
          </w:p>
        </w:tc>
        <w:tc>
          <w:tcPr>
            <w:tcW w:w="1905" w:type="dxa"/>
            <w:noWrap w:val="0"/>
            <w:vAlign w:val="center"/>
          </w:tcPr>
          <w:p w14:paraId="66820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2.8 </w:t>
            </w:r>
          </w:p>
        </w:tc>
      </w:tr>
      <w:tr w14:paraId="68F0B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1023" w:type="dxa"/>
            <w:noWrap w:val="0"/>
            <w:vAlign w:val="center"/>
          </w:tcPr>
          <w:p w14:paraId="048B7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760" w:type="dxa"/>
            <w:noWrap w:val="0"/>
            <w:vAlign w:val="center"/>
          </w:tcPr>
          <w:p w14:paraId="7BC623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工程监测费</w:t>
            </w:r>
          </w:p>
        </w:tc>
        <w:tc>
          <w:tcPr>
            <w:tcW w:w="1425" w:type="dxa"/>
            <w:noWrap w:val="0"/>
            <w:vAlign w:val="center"/>
          </w:tcPr>
          <w:p w14:paraId="1D0BF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1项</w:t>
            </w:r>
          </w:p>
        </w:tc>
        <w:tc>
          <w:tcPr>
            <w:tcW w:w="1650" w:type="dxa"/>
            <w:noWrap w:val="0"/>
            <w:vAlign w:val="center"/>
          </w:tcPr>
          <w:p w14:paraId="0586E4FB">
            <w:pPr>
              <w:jc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</w:p>
        </w:tc>
        <w:tc>
          <w:tcPr>
            <w:tcW w:w="1905" w:type="dxa"/>
            <w:noWrap w:val="0"/>
            <w:vAlign w:val="center"/>
          </w:tcPr>
          <w:p w14:paraId="2AD2F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7.6 </w:t>
            </w:r>
          </w:p>
        </w:tc>
      </w:tr>
      <w:tr w14:paraId="697F9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1023" w:type="dxa"/>
            <w:shd w:val="clear" w:color="auto" w:fill="auto"/>
            <w:noWrap w:val="0"/>
            <w:vAlign w:val="center"/>
          </w:tcPr>
          <w:p w14:paraId="77CB9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760" w:type="dxa"/>
            <w:shd w:val="clear" w:color="FFFFFF" w:fill="FFFFFF"/>
            <w:noWrap w:val="0"/>
            <w:vAlign w:val="center"/>
          </w:tcPr>
          <w:p w14:paraId="178846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安全生产和质量保障费</w:t>
            </w:r>
          </w:p>
        </w:tc>
        <w:tc>
          <w:tcPr>
            <w:tcW w:w="1425" w:type="dxa"/>
            <w:shd w:val="clear" w:color="FFFFFF" w:fill="FFFFFF"/>
            <w:noWrap w:val="0"/>
            <w:vAlign w:val="center"/>
          </w:tcPr>
          <w:p w14:paraId="560E9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1项</w:t>
            </w:r>
          </w:p>
        </w:tc>
        <w:tc>
          <w:tcPr>
            <w:tcW w:w="1650" w:type="dxa"/>
            <w:shd w:val="clear" w:color="auto" w:fill="auto"/>
            <w:noWrap w:val="0"/>
            <w:vAlign w:val="center"/>
          </w:tcPr>
          <w:p w14:paraId="6572E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1%</w:t>
            </w:r>
          </w:p>
        </w:tc>
        <w:tc>
          <w:tcPr>
            <w:tcW w:w="1905" w:type="dxa"/>
            <w:shd w:val="clear" w:color="FFFFFF" w:fill="FFFFFF"/>
            <w:noWrap w:val="0"/>
            <w:vAlign w:val="center"/>
          </w:tcPr>
          <w:p w14:paraId="7A487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6.2 </w:t>
            </w:r>
          </w:p>
        </w:tc>
      </w:tr>
      <w:tr w14:paraId="3645A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exact"/>
        </w:trPr>
        <w:tc>
          <w:tcPr>
            <w:tcW w:w="3783" w:type="dxa"/>
            <w:gridSpan w:val="2"/>
            <w:shd w:val="clear" w:color="auto" w:fill="auto"/>
            <w:noWrap w:val="0"/>
            <w:vAlign w:val="center"/>
          </w:tcPr>
          <w:p w14:paraId="4D231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第一、二部分费用总和</w:t>
            </w:r>
          </w:p>
        </w:tc>
        <w:tc>
          <w:tcPr>
            <w:tcW w:w="1425" w:type="dxa"/>
            <w:shd w:val="clear" w:color="FFFFFF" w:fill="FFFFFF"/>
            <w:noWrap w:val="0"/>
            <w:vAlign w:val="center"/>
          </w:tcPr>
          <w:p w14:paraId="3A782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1项</w:t>
            </w:r>
          </w:p>
        </w:tc>
        <w:tc>
          <w:tcPr>
            <w:tcW w:w="1650" w:type="dxa"/>
            <w:shd w:val="clear" w:color="FFFFFF" w:fill="FFFFFF"/>
            <w:noWrap w:val="0"/>
            <w:vAlign w:val="center"/>
          </w:tcPr>
          <w:p w14:paraId="3E87C2A9">
            <w:pPr>
              <w:jc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</w:p>
        </w:tc>
        <w:tc>
          <w:tcPr>
            <w:tcW w:w="1905" w:type="dxa"/>
            <w:shd w:val="clear" w:color="FFFFFF" w:fill="FFFFFF"/>
            <w:noWrap w:val="0"/>
            <w:vAlign w:val="center"/>
          </w:tcPr>
          <w:p w14:paraId="6CBB6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758.4 </w:t>
            </w:r>
          </w:p>
        </w:tc>
      </w:tr>
      <w:tr w14:paraId="4C9DA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exact"/>
        </w:trPr>
        <w:tc>
          <w:tcPr>
            <w:tcW w:w="1023" w:type="dxa"/>
            <w:shd w:val="clear" w:color="auto" w:fill="auto"/>
            <w:noWrap w:val="0"/>
            <w:vAlign w:val="center"/>
          </w:tcPr>
          <w:p w14:paraId="68828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 w14:paraId="6AC6B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基本预备费</w:t>
            </w:r>
          </w:p>
        </w:tc>
        <w:tc>
          <w:tcPr>
            <w:tcW w:w="1425" w:type="dxa"/>
            <w:shd w:val="clear" w:color="FFFFFF" w:fill="FFFFFF"/>
            <w:noWrap w:val="0"/>
            <w:vAlign w:val="center"/>
          </w:tcPr>
          <w:p w14:paraId="76446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1项</w:t>
            </w:r>
          </w:p>
        </w:tc>
        <w:tc>
          <w:tcPr>
            <w:tcW w:w="1650" w:type="dxa"/>
            <w:shd w:val="clear" w:color="FFFFFF" w:fill="FFFFFF"/>
            <w:noWrap w:val="0"/>
            <w:vAlign w:val="center"/>
          </w:tcPr>
          <w:p w14:paraId="0616E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1905" w:type="dxa"/>
            <w:shd w:val="clear" w:color="FFFFFF" w:fill="FFFFFF"/>
            <w:noWrap w:val="0"/>
            <w:vAlign w:val="center"/>
          </w:tcPr>
          <w:p w14:paraId="38E23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37.9 </w:t>
            </w:r>
          </w:p>
        </w:tc>
      </w:tr>
      <w:tr w14:paraId="310B6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1023" w:type="dxa"/>
            <w:shd w:val="clear" w:color="auto" w:fill="auto"/>
            <w:noWrap w:val="0"/>
            <w:vAlign w:val="center"/>
          </w:tcPr>
          <w:p w14:paraId="7E406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 w14:paraId="3A8D3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概算总投资</w:t>
            </w:r>
          </w:p>
        </w:tc>
        <w:tc>
          <w:tcPr>
            <w:tcW w:w="1425" w:type="dxa"/>
            <w:shd w:val="clear" w:color="FFFFFF" w:fill="FFFFFF"/>
            <w:noWrap w:val="0"/>
            <w:vAlign w:val="center"/>
          </w:tcPr>
          <w:p w14:paraId="435BA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1项</w:t>
            </w:r>
          </w:p>
        </w:tc>
        <w:tc>
          <w:tcPr>
            <w:tcW w:w="1650" w:type="dxa"/>
            <w:shd w:val="clear" w:color="FFFFFF" w:fill="FFFFFF"/>
            <w:noWrap w:val="0"/>
            <w:vAlign w:val="center"/>
          </w:tcPr>
          <w:p w14:paraId="52E358CE">
            <w:pPr>
              <w:jc w:val="center"/>
              <w:rPr>
                <w:rFonts w:hint="default" w:ascii="Times New Roman" w:hAnsi="Times New Roman" w:eastAsia="方正小标宋_GBK" w:cs="Times New Roman"/>
                <w:kern w:val="0"/>
                <w:sz w:val="22"/>
                <w:szCs w:val="22"/>
                <w:vertAlign w:val="baseline"/>
              </w:rPr>
            </w:pPr>
          </w:p>
        </w:tc>
        <w:tc>
          <w:tcPr>
            <w:tcW w:w="1905" w:type="dxa"/>
            <w:shd w:val="clear" w:color="FFFFFF" w:fill="FFFFFF"/>
            <w:noWrap w:val="0"/>
            <w:vAlign w:val="center"/>
          </w:tcPr>
          <w:p w14:paraId="0D081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796.3 </w:t>
            </w:r>
          </w:p>
        </w:tc>
      </w:tr>
    </w:tbl>
    <w:p w14:paraId="58DCB246">
      <w:pPr>
        <w:pStyle w:val="3"/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napToGrid/>
        <w:spacing w:line="560" w:lineRule="exact"/>
        <w:ind w:firstLine="632" w:firstLineChars="200"/>
        <w:jc w:val="both"/>
        <w:rPr>
          <w:i w:val="0"/>
          <w:iCs w:val="0"/>
          <w:sz w:val="28"/>
          <w:szCs w:val="28"/>
        </w:rPr>
      </w:pPr>
      <w:r>
        <w:rPr>
          <w:rFonts w:hint="eastAsia"/>
          <w:kern w:val="2"/>
        </w:rPr>
        <w:t xml:space="preserve">      </w:t>
      </w:r>
    </w:p>
    <w:p w14:paraId="6D4FBC6B">
      <w:pPr>
        <w:spacing w:line="440" w:lineRule="exact"/>
        <w:ind w:left="-319" w:leftChars="-101" w:right="-290" w:rightChars="-92"/>
        <w:rPr>
          <w:rFonts w:hint="eastAsia" w:ascii="Times New Roman" w:hAnsi="Times New Roman" w:eastAsia="方正仿宋_GBK" w:cs="Times New Roman"/>
          <w:sz w:val="28"/>
          <w:szCs w:val="28"/>
          <w:u w:val="single"/>
        </w:rPr>
      </w:pPr>
      <w:r>
        <w:rPr>
          <w:rFonts w:hint="eastAsia" w:ascii="Times New Roman" w:hAnsi="Times New Roman" w:eastAsia="方正黑体_GBK" w:cs="Times New Roman"/>
          <w:sz w:val="32"/>
          <w:szCs w:val="32"/>
          <w:u w:val="thick"/>
        </w:rPr>
        <w:t xml:space="preserve">                  </w:t>
      </w:r>
      <w:r>
        <w:rPr>
          <w:rFonts w:ascii="Times New Roman" w:hAnsi="Times New Roman" w:eastAsia="方正小标宋_GBK" w:cs="Times New Roman"/>
          <w:sz w:val="32"/>
          <w:szCs w:val="32"/>
          <w:u w:val="thick"/>
        </w:rPr>
        <w:t xml:space="preserve">                                           </w:t>
      </w:r>
    </w:p>
    <w:p w14:paraId="472B1091">
      <w:pPr>
        <w:spacing w:line="440" w:lineRule="exact"/>
        <w:ind w:left="-319" w:leftChars="-101" w:right="-290" w:rightChars="-92"/>
        <w:rPr>
          <w:rFonts w:ascii="Times New Roman" w:hAnsi="Times New Roman" w:eastAsia="方正仿宋_GBK" w:cs="Times New Roman"/>
          <w:sz w:val="28"/>
          <w:szCs w:val="28"/>
          <w:u w:val="single"/>
        </w:rPr>
      </w:pPr>
      <w:r>
        <w:rPr>
          <w:rFonts w:hint="eastAsia" w:ascii="Times New Roman" w:hAnsi="Times New Roman" w:eastAsia="方正仿宋_GBK" w:cs="Times New Roman"/>
          <w:sz w:val="28"/>
          <w:szCs w:val="28"/>
          <w:u w:val="single"/>
        </w:rPr>
        <w:t xml:space="preserve">  抄送：区纪委监委、区财政局、区审计局。      </w:t>
      </w:r>
      <w:r>
        <w:rPr>
          <w:rFonts w:hint="eastAsia" w:cs="Times New Roman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Times New Roman" w:hAnsi="Times New Roman" w:eastAsia="方正仿宋_GBK" w:cs="Times New Roman"/>
          <w:sz w:val="28"/>
          <w:szCs w:val="28"/>
          <w:u w:val="single"/>
        </w:rPr>
        <w:t xml:space="preserve">         </w:t>
      </w:r>
      <w:r>
        <w:rPr>
          <w:rFonts w:hint="eastAsia" w:ascii="Times New Roman" w:hAnsi="Times New Roman" w:cs="Times New Roman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sz w:val="28"/>
          <w:szCs w:val="28"/>
          <w:u w:val="none"/>
        </w:rPr>
        <w:t xml:space="preserve">             </w:t>
      </w:r>
    </w:p>
    <w:p w14:paraId="13DE3B32">
      <w:pPr>
        <w:spacing w:line="440" w:lineRule="exact"/>
        <w:ind w:left="-319" w:leftChars="-101" w:right="-290" w:rightChars="-92"/>
        <w:rPr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  <w:u w:val="thick"/>
        </w:rPr>
        <w:t xml:space="preserve"> </w:t>
      </w:r>
      <w:r>
        <w:rPr>
          <w:rFonts w:hint="eastAsia" w:ascii="Times New Roman" w:hAnsi="Times New Roman" w:eastAsia="方正仿宋_GBK" w:cs="Times New Roman"/>
          <w:sz w:val="28"/>
          <w:szCs w:val="28"/>
          <w:u w:val="thick"/>
        </w:rPr>
        <w:t xml:space="preserve"> 重庆市</w:t>
      </w:r>
      <w:r>
        <w:rPr>
          <w:rFonts w:ascii="Times New Roman" w:hAnsi="Times New Roman" w:eastAsia="方正仿宋_GBK" w:cs="Times New Roman"/>
          <w:sz w:val="28"/>
          <w:szCs w:val="28"/>
          <w:u w:val="thick"/>
        </w:rPr>
        <w:t xml:space="preserve">黔江区发展和改革委员会办公室  </w:t>
      </w:r>
      <w:r>
        <w:rPr>
          <w:rFonts w:hint="eastAsia" w:ascii="Times New Roman" w:hAnsi="Times New Roman" w:eastAsia="方正仿宋_GBK" w:cs="Times New Roman"/>
          <w:sz w:val="28"/>
          <w:szCs w:val="28"/>
          <w:u w:val="thick"/>
        </w:rPr>
        <w:t xml:space="preserve"> </w:t>
      </w:r>
      <w:r>
        <w:rPr>
          <w:rFonts w:ascii="Times New Roman" w:hAnsi="Times New Roman" w:eastAsia="方正仿宋_GBK" w:cs="Times New Roman"/>
          <w:sz w:val="28"/>
          <w:szCs w:val="28"/>
          <w:u w:val="thick"/>
        </w:rPr>
        <w:t xml:space="preserve"> </w:t>
      </w:r>
      <w:r>
        <w:rPr>
          <w:rFonts w:hint="eastAsia" w:ascii="Times New Roman" w:hAnsi="Times New Roman" w:eastAsia="方正仿宋_GBK" w:cs="Times New Roman"/>
          <w:sz w:val="28"/>
          <w:szCs w:val="28"/>
          <w:u w:val="thick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8"/>
          <w:szCs w:val="28"/>
          <w:u w:val="thick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Times New Roman" w:hAnsi="Times New Roman" w:cs="Times New Roman"/>
          <w:sz w:val="28"/>
          <w:szCs w:val="28"/>
          <w:u w:val="thick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sz w:val="28"/>
          <w:szCs w:val="28"/>
          <w:u w:val="thick"/>
          <w:lang w:val="en-US" w:eastAsia="zh-CN"/>
        </w:rPr>
        <w:t xml:space="preserve">  </w:t>
      </w:r>
      <w:r>
        <w:rPr>
          <w:rFonts w:ascii="Times New Roman" w:hAnsi="Times New Roman" w:eastAsia="方正仿宋_GBK" w:cs="Times New Roman"/>
          <w:sz w:val="28"/>
          <w:szCs w:val="28"/>
          <w:u w:val="thick"/>
        </w:rPr>
        <w:t xml:space="preserve">  </w:t>
      </w:r>
      <w:r>
        <w:rPr>
          <w:rFonts w:hint="eastAsia" w:ascii="Times New Roman" w:hAnsi="Times New Roman" w:eastAsia="方正仿宋_GBK" w:cs="Times New Roman"/>
          <w:sz w:val="28"/>
          <w:szCs w:val="28"/>
          <w:u w:val="thick"/>
        </w:rPr>
        <w:t xml:space="preserve"> </w:t>
      </w:r>
      <w:r>
        <w:rPr>
          <w:rFonts w:ascii="Times New Roman" w:hAnsi="Times New Roman" w:eastAsia="方正仿宋_GBK" w:cs="Times New Roman"/>
          <w:sz w:val="28"/>
          <w:szCs w:val="28"/>
          <w:u w:val="thick"/>
        </w:rPr>
        <w:t>20</w:t>
      </w:r>
      <w:r>
        <w:rPr>
          <w:rFonts w:hint="eastAsia" w:ascii="Times New Roman" w:hAnsi="Times New Roman" w:eastAsia="方正仿宋_GBK" w:cs="Times New Roman"/>
          <w:sz w:val="28"/>
          <w:szCs w:val="28"/>
          <w:u w:val="thick"/>
        </w:rPr>
        <w:t>2</w:t>
      </w:r>
      <w:r>
        <w:rPr>
          <w:rFonts w:hint="eastAsia" w:ascii="Times New Roman" w:hAnsi="Times New Roman" w:eastAsia="方正仿宋_GBK" w:cs="Times New Roman"/>
          <w:sz w:val="28"/>
          <w:szCs w:val="28"/>
          <w:u w:val="thick"/>
          <w:lang w:val="en-US" w:eastAsia="zh-CN"/>
        </w:rPr>
        <w:t>6</w:t>
      </w:r>
      <w:r>
        <w:rPr>
          <w:rFonts w:ascii="Times New Roman" w:hAnsi="Times New Roman" w:eastAsia="方正仿宋_GBK" w:cs="Times New Roman"/>
          <w:sz w:val="28"/>
          <w:szCs w:val="28"/>
          <w:u w:val="thick"/>
        </w:rPr>
        <w:t>年</w:t>
      </w:r>
      <w:r>
        <w:rPr>
          <w:rFonts w:hint="eastAsia" w:cs="Times New Roman"/>
          <w:sz w:val="28"/>
          <w:szCs w:val="28"/>
          <w:u w:val="thick"/>
          <w:lang w:val="en-US" w:eastAsia="zh-CN"/>
        </w:rPr>
        <w:t>4</w:t>
      </w:r>
      <w:r>
        <w:rPr>
          <w:rFonts w:ascii="Times New Roman" w:hAnsi="Times New Roman" w:eastAsia="方正仿宋_GBK" w:cs="Times New Roman"/>
          <w:sz w:val="28"/>
          <w:szCs w:val="28"/>
          <w:u w:val="thick"/>
        </w:rPr>
        <w:t>月</w:t>
      </w:r>
      <w:r>
        <w:rPr>
          <w:rFonts w:hint="eastAsia" w:cs="Times New Roman"/>
          <w:sz w:val="28"/>
          <w:szCs w:val="28"/>
          <w:u w:val="thick"/>
          <w:lang w:val="en-US" w:eastAsia="zh-CN"/>
        </w:rPr>
        <w:t>10</w:t>
      </w:r>
      <w:r>
        <w:rPr>
          <w:rFonts w:ascii="Times New Roman" w:hAnsi="Times New Roman" w:eastAsia="方正仿宋_GBK" w:cs="Times New Roman"/>
          <w:sz w:val="28"/>
          <w:szCs w:val="28"/>
          <w:u w:val="thick"/>
        </w:rPr>
        <w:t>日印发</w:t>
      </w:r>
      <w:r>
        <w:rPr>
          <w:rFonts w:hint="eastAsia" w:ascii="Times New Roman" w:hAnsi="Times New Roman" w:eastAsia="方正仿宋_GBK" w:cs="Times New Roman"/>
          <w:sz w:val="28"/>
          <w:szCs w:val="28"/>
          <w:u w:val="thick"/>
        </w:rPr>
        <w:t xml:space="preserve"> </w:t>
      </w:r>
      <w:r>
        <w:rPr>
          <w:rFonts w:ascii="Times New Roman" w:hAnsi="Times New Roman" w:eastAsia="方正仿宋_GBK" w:cs="Times New Roman"/>
          <w:sz w:val="28"/>
          <w:szCs w:val="28"/>
          <w:u w:val="thick"/>
        </w:rPr>
        <w:t xml:space="preserve"> </w:t>
      </w:r>
    </w:p>
    <w:sectPr>
      <w:footerReference r:id="rId5" w:type="default"/>
      <w:footerReference r:id="rId6" w:type="even"/>
      <w:pgSz w:w="11906" w:h="16838"/>
      <w:pgMar w:top="2098" w:right="1474" w:bottom="1984" w:left="1587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88F78F">
    <w:pPr>
      <w:jc w:val="right"/>
      <w:rPr>
        <w:rFonts w:eastAsia="Times New Roman"/>
        <w:sz w:val="18"/>
      </w:rPr>
    </w:pPr>
    <w:r>
      <w:rPr>
        <w:sz w:val="18"/>
      </w:rPr>
      <w:pict>
        <v:shape id="文本框 2" o:spid="_x0000_s2049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4C811FE9">
                <w:pPr>
                  <w:snapToGrid w:val="0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t xml:space="preserve">— </w:t>
                </w: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1</w:t>
                </w:r>
                <w:r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912553">
    <w:pPr>
      <w:jc w:val="right"/>
      <w:rPr>
        <w:rFonts w:eastAsia="Times New Roman"/>
        <w:sz w:val="18"/>
      </w:rPr>
    </w:pPr>
    <w:r>
      <w:rPr>
        <w:rFonts w:eastAsia="Times New Roman"/>
        <w:sz w:val="18"/>
      </w:rPr>
      <w:fldChar w:fldCharType="begin"/>
    </w:r>
    <w:r>
      <w:rPr>
        <w:rFonts w:eastAsia="Times New Roman"/>
        <w:sz w:val="18"/>
      </w:rPr>
      <w:instrText xml:space="preserve"> PAGE </w:instrText>
    </w:r>
    <w:r>
      <w:rPr>
        <w:rFonts w:eastAsia="Times New Roman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5"/>
  <w:drawingGridHorizontalSpacing w:val="158"/>
  <w:drawingGridVerticalSpacing w:val="579"/>
  <w:displayHorizontalDrawingGridEvery w:val="1"/>
  <w:displayVerticalDrawingGridEvery w:val="1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doNotSuppressParagraphBorders/>
    <w:footnoteLayoutLikeWW8/>
    <w:forgetLastTabAlignment/>
    <w:layoutRawTableWidth/>
    <w:layoutTableRowsApart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A01FB"/>
    <w:rsid w:val="000466D6"/>
    <w:rsid w:val="000833DF"/>
    <w:rsid w:val="000836D0"/>
    <w:rsid w:val="000A01FB"/>
    <w:rsid w:val="000B24F9"/>
    <w:rsid w:val="000B4A22"/>
    <w:rsid w:val="000C0BF7"/>
    <w:rsid w:val="000C2FB2"/>
    <w:rsid w:val="000C6B28"/>
    <w:rsid w:val="000D6856"/>
    <w:rsid w:val="000F25BF"/>
    <w:rsid w:val="001005AC"/>
    <w:rsid w:val="001024AA"/>
    <w:rsid w:val="001056AD"/>
    <w:rsid w:val="00182501"/>
    <w:rsid w:val="00185691"/>
    <w:rsid w:val="001B294E"/>
    <w:rsid w:val="001B58F6"/>
    <w:rsid w:val="001C2A04"/>
    <w:rsid w:val="001D3042"/>
    <w:rsid w:val="001E64D7"/>
    <w:rsid w:val="001F7BBB"/>
    <w:rsid w:val="00232D37"/>
    <w:rsid w:val="002466FA"/>
    <w:rsid w:val="00250A8A"/>
    <w:rsid w:val="0026530B"/>
    <w:rsid w:val="00266A87"/>
    <w:rsid w:val="00296D93"/>
    <w:rsid w:val="002B04C6"/>
    <w:rsid w:val="002D3B50"/>
    <w:rsid w:val="002F63F7"/>
    <w:rsid w:val="00301B6D"/>
    <w:rsid w:val="003111F1"/>
    <w:rsid w:val="00392240"/>
    <w:rsid w:val="00396CAE"/>
    <w:rsid w:val="003B3891"/>
    <w:rsid w:val="003D5F25"/>
    <w:rsid w:val="003E4FE8"/>
    <w:rsid w:val="003E5084"/>
    <w:rsid w:val="003F450B"/>
    <w:rsid w:val="00413264"/>
    <w:rsid w:val="004217CD"/>
    <w:rsid w:val="00432433"/>
    <w:rsid w:val="00434D79"/>
    <w:rsid w:val="00474C3A"/>
    <w:rsid w:val="00496D2E"/>
    <w:rsid w:val="00497F00"/>
    <w:rsid w:val="004A1ECE"/>
    <w:rsid w:val="004A2FB3"/>
    <w:rsid w:val="004B7416"/>
    <w:rsid w:val="004C2354"/>
    <w:rsid w:val="004E0474"/>
    <w:rsid w:val="0050535E"/>
    <w:rsid w:val="00572212"/>
    <w:rsid w:val="005777F4"/>
    <w:rsid w:val="005C7EAE"/>
    <w:rsid w:val="005F3C4D"/>
    <w:rsid w:val="006042BD"/>
    <w:rsid w:val="006068C6"/>
    <w:rsid w:val="00615E22"/>
    <w:rsid w:val="00660284"/>
    <w:rsid w:val="006A30D0"/>
    <w:rsid w:val="006C0DE2"/>
    <w:rsid w:val="00720514"/>
    <w:rsid w:val="00720554"/>
    <w:rsid w:val="0072131F"/>
    <w:rsid w:val="00722A13"/>
    <w:rsid w:val="00731C1B"/>
    <w:rsid w:val="00737083"/>
    <w:rsid w:val="00765BC9"/>
    <w:rsid w:val="007770A5"/>
    <w:rsid w:val="00794916"/>
    <w:rsid w:val="007D10A4"/>
    <w:rsid w:val="007F46CB"/>
    <w:rsid w:val="00800B8F"/>
    <w:rsid w:val="00815223"/>
    <w:rsid w:val="00831787"/>
    <w:rsid w:val="00850D3F"/>
    <w:rsid w:val="00853F77"/>
    <w:rsid w:val="00860A47"/>
    <w:rsid w:val="008807F7"/>
    <w:rsid w:val="00891C35"/>
    <w:rsid w:val="008935D1"/>
    <w:rsid w:val="008B74C0"/>
    <w:rsid w:val="008D006A"/>
    <w:rsid w:val="008E5D76"/>
    <w:rsid w:val="008F6151"/>
    <w:rsid w:val="009048D5"/>
    <w:rsid w:val="00904AFE"/>
    <w:rsid w:val="0092122C"/>
    <w:rsid w:val="009220DF"/>
    <w:rsid w:val="009631E1"/>
    <w:rsid w:val="00963243"/>
    <w:rsid w:val="00965CCB"/>
    <w:rsid w:val="00972E17"/>
    <w:rsid w:val="00974193"/>
    <w:rsid w:val="009A5EB0"/>
    <w:rsid w:val="009D4565"/>
    <w:rsid w:val="00A40C10"/>
    <w:rsid w:val="00A443C1"/>
    <w:rsid w:val="00A85F38"/>
    <w:rsid w:val="00A955CD"/>
    <w:rsid w:val="00AA3D4F"/>
    <w:rsid w:val="00AD3EFF"/>
    <w:rsid w:val="00AF7CD3"/>
    <w:rsid w:val="00B1777D"/>
    <w:rsid w:val="00B51CD6"/>
    <w:rsid w:val="00B73014"/>
    <w:rsid w:val="00B741C1"/>
    <w:rsid w:val="00B833D8"/>
    <w:rsid w:val="00BD421E"/>
    <w:rsid w:val="00BF0A53"/>
    <w:rsid w:val="00C363AA"/>
    <w:rsid w:val="00C464A8"/>
    <w:rsid w:val="00C6762A"/>
    <w:rsid w:val="00CD4D55"/>
    <w:rsid w:val="00D01740"/>
    <w:rsid w:val="00D7295A"/>
    <w:rsid w:val="00D878F1"/>
    <w:rsid w:val="00D902A8"/>
    <w:rsid w:val="00D97CFB"/>
    <w:rsid w:val="00DB38C2"/>
    <w:rsid w:val="00DD2B37"/>
    <w:rsid w:val="00DD4877"/>
    <w:rsid w:val="00E03841"/>
    <w:rsid w:val="00E7080E"/>
    <w:rsid w:val="00E73AC1"/>
    <w:rsid w:val="00E770E1"/>
    <w:rsid w:val="00E93235"/>
    <w:rsid w:val="00ED5B9D"/>
    <w:rsid w:val="00EF1554"/>
    <w:rsid w:val="00F14A44"/>
    <w:rsid w:val="00F63B69"/>
    <w:rsid w:val="00F63FF8"/>
    <w:rsid w:val="00FA4D84"/>
    <w:rsid w:val="00FA4DBD"/>
    <w:rsid w:val="00FF1FF7"/>
    <w:rsid w:val="01A06D82"/>
    <w:rsid w:val="01B25A4D"/>
    <w:rsid w:val="03505C66"/>
    <w:rsid w:val="038C50E0"/>
    <w:rsid w:val="039C5442"/>
    <w:rsid w:val="05CD672F"/>
    <w:rsid w:val="07DE0AAA"/>
    <w:rsid w:val="0BCD6AE0"/>
    <w:rsid w:val="0C4A6383"/>
    <w:rsid w:val="0CF02DEE"/>
    <w:rsid w:val="0F8141E3"/>
    <w:rsid w:val="0FBE0C03"/>
    <w:rsid w:val="0FEB39D9"/>
    <w:rsid w:val="10F843A7"/>
    <w:rsid w:val="119229CC"/>
    <w:rsid w:val="11F01372"/>
    <w:rsid w:val="12080E07"/>
    <w:rsid w:val="12C81AA5"/>
    <w:rsid w:val="138E3D1F"/>
    <w:rsid w:val="13C06F2A"/>
    <w:rsid w:val="15384912"/>
    <w:rsid w:val="1578613D"/>
    <w:rsid w:val="174C7453"/>
    <w:rsid w:val="17935082"/>
    <w:rsid w:val="193D01E0"/>
    <w:rsid w:val="1A6E579F"/>
    <w:rsid w:val="1AF51BB0"/>
    <w:rsid w:val="1D2027D0"/>
    <w:rsid w:val="1D4E12BA"/>
    <w:rsid w:val="1E3E4C49"/>
    <w:rsid w:val="1F4C00ED"/>
    <w:rsid w:val="21400CDB"/>
    <w:rsid w:val="226117B6"/>
    <w:rsid w:val="23445D57"/>
    <w:rsid w:val="23570372"/>
    <w:rsid w:val="256B156C"/>
    <w:rsid w:val="25B27047"/>
    <w:rsid w:val="26D83835"/>
    <w:rsid w:val="27F5397D"/>
    <w:rsid w:val="2A467612"/>
    <w:rsid w:val="2AFF29AF"/>
    <w:rsid w:val="2B49432C"/>
    <w:rsid w:val="2B6540BB"/>
    <w:rsid w:val="2B6F62D5"/>
    <w:rsid w:val="2B8704A8"/>
    <w:rsid w:val="2C583D4C"/>
    <w:rsid w:val="2DB96A6D"/>
    <w:rsid w:val="2DD45655"/>
    <w:rsid w:val="2EC622A9"/>
    <w:rsid w:val="2F144C11"/>
    <w:rsid w:val="2F1819BF"/>
    <w:rsid w:val="2FB120F1"/>
    <w:rsid w:val="30C82935"/>
    <w:rsid w:val="32EC51EE"/>
    <w:rsid w:val="331524B7"/>
    <w:rsid w:val="34F125D9"/>
    <w:rsid w:val="358D4A67"/>
    <w:rsid w:val="359D56FF"/>
    <w:rsid w:val="35EF5E14"/>
    <w:rsid w:val="37083883"/>
    <w:rsid w:val="37BF5232"/>
    <w:rsid w:val="37EB016A"/>
    <w:rsid w:val="38146403"/>
    <w:rsid w:val="38B97D28"/>
    <w:rsid w:val="3A1F5203"/>
    <w:rsid w:val="3BC046A9"/>
    <w:rsid w:val="3D0038A0"/>
    <w:rsid w:val="3D584BA2"/>
    <w:rsid w:val="3E590054"/>
    <w:rsid w:val="3F455D0A"/>
    <w:rsid w:val="401B2DD2"/>
    <w:rsid w:val="402E288B"/>
    <w:rsid w:val="4072332D"/>
    <w:rsid w:val="417E794A"/>
    <w:rsid w:val="44083C3F"/>
    <w:rsid w:val="4577128F"/>
    <w:rsid w:val="45E47B16"/>
    <w:rsid w:val="47651902"/>
    <w:rsid w:val="477B47A9"/>
    <w:rsid w:val="48F84664"/>
    <w:rsid w:val="4A30398A"/>
    <w:rsid w:val="4A9F4CF0"/>
    <w:rsid w:val="4AAE4239"/>
    <w:rsid w:val="4AC07792"/>
    <w:rsid w:val="4B83672E"/>
    <w:rsid w:val="4CE7092E"/>
    <w:rsid w:val="4D393458"/>
    <w:rsid w:val="4E252DB9"/>
    <w:rsid w:val="4E311E0D"/>
    <w:rsid w:val="5073301F"/>
    <w:rsid w:val="50AD3FF8"/>
    <w:rsid w:val="513169D7"/>
    <w:rsid w:val="51F223CA"/>
    <w:rsid w:val="52383B54"/>
    <w:rsid w:val="53845485"/>
    <w:rsid w:val="545424E6"/>
    <w:rsid w:val="54BF230B"/>
    <w:rsid w:val="54E47F11"/>
    <w:rsid w:val="55434A67"/>
    <w:rsid w:val="556D1D67"/>
    <w:rsid w:val="55835057"/>
    <w:rsid w:val="55E67F7B"/>
    <w:rsid w:val="56A812A9"/>
    <w:rsid w:val="56F96347"/>
    <w:rsid w:val="579A67E6"/>
    <w:rsid w:val="57DB6B64"/>
    <w:rsid w:val="57E72F44"/>
    <w:rsid w:val="584516FE"/>
    <w:rsid w:val="5ADF1011"/>
    <w:rsid w:val="5BB1598F"/>
    <w:rsid w:val="5BC50A62"/>
    <w:rsid w:val="5D413B33"/>
    <w:rsid w:val="5D465377"/>
    <w:rsid w:val="60050F24"/>
    <w:rsid w:val="60DB54F6"/>
    <w:rsid w:val="61263F4D"/>
    <w:rsid w:val="61523763"/>
    <w:rsid w:val="61561366"/>
    <w:rsid w:val="62CA6A4B"/>
    <w:rsid w:val="6383212C"/>
    <w:rsid w:val="65E0558A"/>
    <w:rsid w:val="65E21D1F"/>
    <w:rsid w:val="676254A4"/>
    <w:rsid w:val="67D31EFE"/>
    <w:rsid w:val="68E8683A"/>
    <w:rsid w:val="694D661D"/>
    <w:rsid w:val="696E3491"/>
    <w:rsid w:val="6AFF5937"/>
    <w:rsid w:val="6B0723DE"/>
    <w:rsid w:val="6B225BFF"/>
    <w:rsid w:val="6C3D2854"/>
    <w:rsid w:val="6C4D6279"/>
    <w:rsid w:val="6E163EDE"/>
    <w:rsid w:val="6E246442"/>
    <w:rsid w:val="70672B65"/>
    <w:rsid w:val="726C3FD1"/>
    <w:rsid w:val="735A34D3"/>
    <w:rsid w:val="73815F40"/>
    <w:rsid w:val="74965E13"/>
    <w:rsid w:val="74CD5083"/>
    <w:rsid w:val="76B77724"/>
    <w:rsid w:val="77C6382D"/>
    <w:rsid w:val="7A7973A8"/>
    <w:rsid w:val="7AF43C80"/>
    <w:rsid w:val="7B0C0998"/>
    <w:rsid w:val="7BAA0A78"/>
    <w:rsid w:val="7C5031A0"/>
    <w:rsid w:val="7E707F48"/>
    <w:rsid w:val="7EFE1DAF"/>
    <w:rsid w:val="7FBF2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nhideWhenUsed="0" w:uiPriority="0" w:semiHidden="0" w:name="Table Subtle 2"/>
    <w:lsdException w:uiPriority="0" w:name="Table Web 1"/>
    <w:lsdException w:uiPriority="0" w:name="Table Web 2"/>
    <w:lsdException w:unhideWhenUsed="0" w:uiPriority="0" w:semiHidden="0" w:name="Table Web 3"/>
    <w:lsdException w:qFormat="1" w:unhideWhenUsed="0"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方正仿宋_GBK" w:cs="Times New Roman"/>
      <w:sz w:val="32"/>
      <w:szCs w:val="3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Body Text Indent"/>
    <w:basedOn w:val="1"/>
    <w:unhideWhenUsed/>
    <w:qFormat/>
    <w:uiPriority w:val="99"/>
    <w:pPr>
      <w:spacing w:line="580" w:lineRule="exact"/>
      <w:ind w:firstLine="630"/>
    </w:pPr>
    <w:rPr>
      <w:rFonts w:eastAsia="仿宋_GB2312"/>
      <w:sz w:val="32"/>
    </w:rPr>
  </w:style>
  <w:style w:type="paragraph" w:styleId="4">
    <w:name w:val="Plain Text"/>
    <w:basedOn w:val="1"/>
    <w:unhideWhenUsed/>
    <w:qFormat/>
    <w:uiPriority w:val="99"/>
    <w:rPr>
      <w:rFonts w:ascii="宋体" w:hAnsi="Courier New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9">
    <w:name w:val="Table Grid"/>
    <w:basedOn w:val="8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character" w:customStyle="1" w:styleId="12">
    <w:name w:val="页脚 字符"/>
    <w:link w:val="6"/>
    <w:qFormat/>
    <w:uiPriority w:val="99"/>
    <w:rPr>
      <w:rFonts w:eastAsia="方正仿宋_GBK"/>
      <w:sz w:val="18"/>
      <w:szCs w:val="18"/>
    </w:rPr>
  </w:style>
  <w:style w:type="character" w:customStyle="1" w:styleId="13">
    <w:name w:val="页眉 字符"/>
    <w:link w:val="7"/>
    <w:qFormat/>
    <w:uiPriority w:val="0"/>
    <w:rPr>
      <w:rFonts w:eastAsia="方正仿宋_GBK"/>
      <w:sz w:val="18"/>
      <w:szCs w:val="18"/>
    </w:rPr>
  </w:style>
  <w:style w:type="paragraph" w:customStyle="1" w:styleId="14">
    <w:name w:val="4.正文"/>
    <w:basedOn w:val="1"/>
    <w:qFormat/>
    <w:uiPriority w:val="0"/>
    <w:pPr>
      <w:ind w:firstLine="200"/>
    </w:pPr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103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F8B2DB-A60F-4ED5-B950-1C2A063032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jw</Company>
  <Pages>3</Pages>
  <Words>1010</Words>
  <Characters>1151</Characters>
  <Lines>4</Lines>
  <Paragraphs>1</Paragraphs>
  <TotalTime>1</TotalTime>
  <ScaleCrop>false</ScaleCrop>
  <LinksUpToDate>false</LinksUpToDate>
  <CharactersWithSpaces>1334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2025-08-06T09:31:00Z</dcterms:created>
  <dc:creator>jw</dc:creator>
  <cp:lastModifiedBy>董丽莉</cp:lastModifiedBy>
  <cp:lastPrinted>2026-03-24T07:51:00Z</cp:lastPrinted>
  <dcterms:modified xsi:type="dcterms:W3CDTF">2026-04-10T02:03:11Z</dcterms:modified>
  <dc:title>批复文件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1D79BF4E7AA445DB84BBD6FF859A0D54</vt:lpwstr>
  </property>
  <property fmtid="{D5CDD505-2E9C-101B-9397-08002B2CF9AE}" pid="3" name="KSOProductBuildVer">
    <vt:lpwstr>2052-12.1.0.25225</vt:lpwstr>
  </property>
  <property fmtid="{D5CDD505-2E9C-101B-9397-08002B2CF9AE}" pid="4" name="KSOTemplateDocerSaveRecord">
    <vt:lpwstr>eyJoZGlkIjoiMTY2Y2ZlYTNkNWI5MzlkYjFiNjgwMzcyNGYwMjIxODUiLCJ1c2VySWQiOiIxOTA1NDczOTIifQ==</vt:lpwstr>
  </property>
</Properties>
</file>