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6A7" w:rsidRDefault="0081645C">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重庆市黔江区商务委员会（本级）</w:t>
      </w:r>
    </w:p>
    <w:p w:rsidR="00A106A7" w:rsidRDefault="0081645C">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2024</w:t>
      </w:r>
      <w:r>
        <w:rPr>
          <w:rFonts w:ascii="Times New Roman" w:eastAsia="方正小标宋_GBK" w:hAnsi="Times New Roman" w:hint="default"/>
          <w:sz w:val="44"/>
          <w:szCs w:val="44"/>
        </w:rPr>
        <w:t>年度决算公开说明</w:t>
      </w:r>
    </w:p>
    <w:p w:rsidR="00A106A7" w:rsidRDefault="00A106A7">
      <w:pPr>
        <w:spacing w:line="579" w:lineRule="exact"/>
        <w:ind w:firstLineChars="200" w:firstLine="640"/>
        <w:jc w:val="both"/>
        <w:rPr>
          <w:rFonts w:ascii="Times New Roman" w:eastAsia="方正仿宋_GBK" w:hAnsi="Times New Roman" w:hint="default"/>
          <w:sz w:val="32"/>
          <w:szCs w:val="32"/>
        </w:rPr>
      </w:pPr>
    </w:p>
    <w:p w:rsidR="00A106A7" w:rsidRDefault="0081645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一、部门基本情况</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（一）职能职责</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主要负责研究商贸领域现代市场体系、现代流通方式等商务运行中的问题并提出对策建议，研究提出商贸领域财税、金融等政策建议；负责起草商贸行业发展战略、中长期规划、行业专项规划编制。实施商贸物流促进政策，冷链行业管理、仓储发展、重点商贸项目策划、编制、统计监测分析，落实商品储备制度、指导商圈、大宗产品批发市场规划和城市商业网点规划、商业业态调整、商业体系建设，拟定消费促进、服务业发展、会展经济等方面的规划、培育、培训、工作措施和政策建议。负责承担突发性灾害和突发性事件重要商品保供应急工作，指导、规范商贸系统行政审批工作、商贸行业行政执法、商务举报投诉受理、行业监管综合执法，参与打击商业欺诈，承办有关行政复议和行政应诉、再生资源回收、旧货流通等重要商品流通经营的监督管理、成品油经营、储存日常安全监督、拍卖行业监管、汽车流通及老旧汽车更新等行业流通经营的监督管理，商贸领域</w:t>
      </w:r>
      <w:r>
        <w:rPr>
          <w:rFonts w:ascii="Times New Roman" w:eastAsia="方正仿宋_GBK" w:hAnsi="Times New Roman" w:hint="default"/>
          <w:sz w:val="32"/>
          <w:szCs w:val="32"/>
        </w:rPr>
        <w:t>“</w:t>
      </w:r>
      <w:r>
        <w:rPr>
          <w:rFonts w:ascii="Times New Roman" w:eastAsia="方正仿宋_GBK" w:hAnsi="Times New Roman" w:hint="default"/>
          <w:sz w:val="32"/>
          <w:szCs w:val="32"/>
        </w:rPr>
        <w:t>放管服</w:t>
      </w:r>
      <w:r>
        <w:rPr>
          <w:rFonts w:ascii="Times New Roman" w:eastAsia="方正仿宋_GBK" w:hAnsi="Times New Roman" w:hint="default"/>
          <w:sz w:val="32"/>
          <w:szCs w:val="32"/>
        </w:rPr>
        <w:t>”</w:t>
      </w:r>
      <w:r>
        <w:rPr>
          <w:rFonts w:ascii="Times New Roman" w:eastAsia="方正仿宋_GBK" w:hAnsi="Times New Roman" w:hint="default"/>
          <w:sz w:val="32"/>
          <w:szCs w:val="32"/>
        </w:rPr>
        <w:t>改革等工作，推动商贸领域信用建设和优质服务工作；负责电子商务发展工作，实施电子商务发展相关政策、措施及电子商务相关标准、行业管理，跨境电子商务综合示范区和电子商务示范基地建</w:t>
      </w:r>
      <w:r>
        <w:rPr>
          <w:rFonts w:ascii="Times New Roman" w:eastAsia="方正仿宋_GBK" w:hAnsi="Times New Roman" w:hint="default"/>
          <w:sz w:val="32"/>
          <w:szCs w:val="32"/>
        </w:rPr>
        <w:lastRenderedPageBreak/>
        <w:t>设，协调支持配送、支付、技术、认证等配套行业发展，农村电子商务推广应用及信息化建设，城乡物流配送体系建设、电商物流等数字商务有关工作。负责外经外贸外资工作，负责拟定外向型经济发展规划、对外贸易、加工贸易、服务贸易、总部贸易和转口贸易的指导、管理和服务，承担进出口公平贸易工作和贸易救济调查，指导和组织实施对外贸易促进体系建设和对外贸易促进活动，指导、实施出口知名品牌、进出口基地、外贸综合服务平台建设，组织协调指导对外贸易促进活动，同时做好全区外商投资企业设立及变更的备案管理工作咨询，投诉协调、监督、检查外商投资企业执行有关法律法规情况以及外商投资企业统计工作，实施企业</w:t>
      </w:r>
      <w:r>
        <w:rPr>
          <w:rFonts w:ascii="Times New Roman" w:eastAsia="方正仿宋_GBK" w:hAnsi="Times New Roman" w:hint="default"/>
          <w:sz w:val="32"/>
          <w:szCs w:val="32"/>
        </w:rPr>
        <w:t>“</w:t>
      </w:r>
      <w:r>
        <w:rPr>
          <w:rFonts w:ascii="Times New Roman" w:eastAsia="方正仿宋_GBK" w:hAnsi="Times New Roman" w:hint="default"/>
          <w:sz w:val="32"/>
          <w:szCs w:val="32"/>
        </w:rPr>
        <w:t>走出去</w:t>
      </w:r>
      <w:r>
        <w:rPr>
          <w:rFonts w:ascii="Times New Roman" w:eastAsia="方正仿宋_GBK" w:hAnsi="Times New Roman" w:hint="default"/>
          <w:sz w:val="32"/>
          <w:szCs w:val="32"/>
        </w:rPr>
        <w:t>”</w:t>
      </w:r>
      <w:r>
        <w:rPr>
          <w:rFonts w:ascii="Times New Roman" w:eastAsia="方正仿宋_GBK" w:hAnsi="Times New Roman" w:hint="default"/>
          <w:sz w:val="32"/>
          <w:szCs w:val="32"/>
        </w:rPr>
        <w:t>战略，组织辖区企业参与</w:t>
      </w:r>
      <w:r>
        <w:rPr>
          <w:rFonts w:ascii="Times New Roman" w:eastAsia="方正仿宋_GBK" w:hAnsi="Times New Roman" w:hint="default"/>
          <w:sz w:val="32"/>
          <w:szCs w:val="32"/>
        </w:rPr>
        <w:t>“</w:t>
      </w:r>
      <w:r>
        <w:rPr>
          <w:rFonts w:ascii="Times New Roman" w:eastAsia="方正仿宋_GBK" w:hAnsi="Times New Roman" w:hint="default"/>
          <w:sz w:val="32"/>
          <w:szCs w:val="32"/>
        </w:rPr>
        <w:t>一带一路</w:t>
      </w:r>
      <w:r>
        <w:rPr>
          <w:rFonts w:ascii="Times New Roman" w:eastAsia="方正仿宋_GBK" w:hAnsi="Times New Roman" w:hint="default"/>
          <w:sz w:val="32"/>
          <w:szCs w:val="32"/>
        </w:rPr>
        <w:t>”</w:t>
      </w:r>
      <w:r>
        <w:rPr>
          <w:rFonts w:ascii="Times New Roman" w:eastAsia="方正仿宋_GBK" w:hAnsi="Times New Roman" w:hint="default"/>
          <w:sz w:val="32"/>
          <w:szCs w:val="32"/>
        </w:rPr>
        <w:t>沿线国家经济合作，推进企业国际产能合作，对接做好海关商检、中新示范项目等相关工作。协调推动各开放平台协同发展，指导、推行、实施贸易便利化建设，协调承担</w:t>
      </w:r>
      <w:r>
        <w:rPr>
          <w:rFonts w:ascii="Times New Roman" w:eastAsia="方正仿宋_GBK" w:hAnsi="Times New Roman" w:hint="default"/>
          <w:sz w:val="32"/>
          <w:szCs w:val="32"/>
        </w:rPr>
        <w:t>“</w:t>
      </w:r>
      <w:r>
        <w:rPr>
          <w:rFonts w:ascii="Times New Roman" w:eastAsia="方正仿宋_GBK" w:hAnsi="Times New Roman" w:hint="default"/>
          <w:sz w:val="32"/>
          <w:szCs w:val="32"/>
        </w:rPr>
        <w:t>少数民族地区外向型经济跨越式发展试验区</w:t>
      </w:r>
      <w:r>
        <w:rPr>
          <w:rFonts w:ascii="Times New Roman" w:eastAsia="方正仿宋_GBK" w:hAnsi="Times New Roman" w:hint="default"/>
          <w:sz w:val="32"/>
          <w:szCs w:val="32"/>
        </w:rPr>
        <w:t>”</w:t>
      </w:r>
      <w:r>
        <w:rPr>
          <w:rFonts w:ascii="Times New Roman" w:eastAsia="方正仿宋_GBK" w:hAnsi="Times New Roman" w:hint="default"/>
          <w:sz w:val="32"/>
          <w:szCs w:val="32"/>
        </w:rPr>
        <w:t>涉及的相关工作。负责协调对接市贸促会、自贸区等平台单位的相关工作。</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（二）机构设置</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重庆市黔江区商务委员会（本级）为政府组成部门，内设</w:t>
      </w:r>
      <w:r>
        <w:rPr>
          <w:rFonts w:ascii="Times New Roman" w:eastAsia="方正仿宋_GBK" w:hAnsi="Times New Roman" w:hint="default"/>
          <w:sz w:val="32"/>
          <w:szCs w:val="32"/>
        </w:rPr>
        <w:t>9</w:t>
      </w:r>
      <w:r>
        <w:rPr>
          <w:rFonts w:ascii="Times New Roman" w:eastAsia="方正仿宋_GBK" w:hAnsi="Times New Roman" w:hint="default"/>
          <w:sz w:val="32"/>
          <w:szCs w:val="32"/>
        </w:rPr>
        <w:t>个职能科室，分别是办公室、规划发展科、市场流通科、电子商务和信息化科、外经外贸科（中新项目管理科）、运行调节科、法治科（特商科）、财务审计科、政工人事科。</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黑体_GBK" w:hAnsi="Times New Roman" w:hint="default"/>
          <w:sz w:val="32"/>
          <w:szCs w:val="32"/>
        </w:rPr>
        <w:t>二、部门决算情况说明</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lastRenderedPageBreak/>
        <w:t>（一）收入支出决算总体情况说明</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1.</w:t>
      </w:r>
      <w:r>
        <w:rPr>
          <w:rFonts w:ascii="Times New Roman" w:eastAsia="方正仿宋_GBK" w:hAnsi="Times New Roman" w:hint="default"/>
          <w:b/>
          <w:sz w:val="32"/>
          <w:szCs w:val="32"/>
        </w:rPr>
        <w:t>总体情况。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年度收入总计</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万元，支出总计</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万元。收、支与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年度收入合计</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，主要原因是生活必需品保供能力提升、县域商业体系建设等项目预算支出增加。其中：财政拨款收入</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100.00%</w:t>
      </w:r>
      <w:r>
        <w:rPr>
          <w:rFonts w:ascii="Times New Roman" w:eastAsia="方正仿宋_GBK" w:hAnsi="Times New Roman" w:hint="default"/>
          <w:sz w:val="32"/>
          <w:szCs w:val="32"/>
        </w:rPr>
        <w:t>。</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年度支出合计</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，主要原因是生活必需品保供能力提升、县域商业体系建设等项目预算支出增加。其中：基本支出</w:t>
      </w:r>
      <w:r>
        <w:rPr>
          <w:rFonts w:ascii="Times New Roman" w:eastAsia="方正仿宋_GBK" w:hAnsi="Times New Roman" w:hint="default"/>
          <w:sz w:val="32"/>
          <w:szCs w:val="32"/>
        </w:rPr>
        <w:t>1045.04</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29.00%</w:t>
      </w:r>
      <w:r>
        <w:rPr>
          <w:rFonts w:ascii="Times New Roman" w:eastAsia="方正仿宋_GBK" w:hAnsi="Times New Roman" w:hint="default"/>
          <w:sz w:val="32"/>
          <w:szCs w:val="32"/>
        </w:rPr>
        <w:t>；项目支出</w:t>
      </w:r>
      <w:r>
        <w:rPr>
          <w:rFonts w:ascii="Times New Roman" w:eastAsia="方正仿宋_GBK" w:hAnsi="Times New Roman" w:hint="default"/>
          <w:sz w:val="32"/>
          <w:szCs w:val="32"/>
        </w:rPr>
        <w:t>2557.96</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71.00%</w:t>
      </w:r>
      <w:r>
        <w:rPr>
          <w:rFonts w:ascii="Times New Roman" w:eastAsia="方正仿宋_GBK" w:hAnsi="Times New Roman" w:hint="default"/>
          <w:sz w:val="32"/>
          <w:szCs w:val="32"/>
        </w:rPr>
        <w:t>。</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结转结余情况。</w:t>
      </w:r>
      <w:r>
        <w:rPr>
          <w:rFonts w:ascii="Times New Roman" w:eastAsia="方正仿宋_GBK" w:hAnsi="Times New Roman"/>
          <w:b/>
          <w:sz w:val="32"/>
          <w:szCs w:val="32"/>
        </w:rPr>
        <w:t>无</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（二）财政拨款收入支出决算总体情况说明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年度财政拨款收、支总计</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2022</w:t>
      </w:r>
      <w:r>
        <w:rPr>
          <w:rFonts w:ascii="Times New Roman" w:eastAsia="方正仿宋_GBK" w:hAnsi="Times New Roman" w:hint="default"/>
          <w:sz w:val="32"/>
          <w:szCs w:val="32"/>
        </w:rPr>
        <w:t>年相比，财政拨款收、支总计各增加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（三）一般公共预算财政拨款收入支出决算情况说明</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lastRenderedPageBreak/>
        <w:t>1.</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年度一般公共预算财政拨款收入</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。主要原因是生活必需品保供能力提升、县域商业体系建设等项目预算支出增加。较年初预算数减少</w:t>
      </w:r>
      <w:r>
        <w:rPr>
          <w:rFonts w:ascii="Times New Roman" w:eastAsia="方正仿宋_GBK" w:hAnsi="Times New Roman" w:hint="default"/>
          <w:sz w:val="32"/>
          <w:szCs w:val="32"/>
        </w:rPr>
        <w:t>869.99</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w:t>
      </w:r>
      <w:r>
        <w:rPr>
          <w:rFonts w:ascii="Times New Roman" w:eastAsia="方正仿宋_GBK" w:hAnsi="Times New Roman" w:hint="default"/>
          <w:sz w:val="32"/>
          <w:szCs w:val="32"/>
        </w:rPr>
        <w:t>3603.01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634.96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21.4%</w:t>
      </w:r>
      <w:r>
        <w:rPr>
          <w:rFonts w:ascii="Times New Roman" w:eastAsia="方正仿宋_GBK" w:hAnsi="Times New Roman" w:hint="default"/>
          <w:sz w:val="32"/>
          <w:szCs w:val="32"/>
        </w:rPr>
        <w:t>。主要原因是生活必需品保供能力提升、县域商业体系建设等项目预算支出增加。较年初预算数减少</w:t>
      </w:r>
      <w:r>
        <w:rPr>
          <w:rFonts w:ascii="Times New Roman" w:eastAsia="方正仿宋_GBK" w:hAnsi="Times New Roman" w:hint="default"/>
          <w:sz w:val="32"/>
          <w:szCs w:val="32"/>
        </w:rPr>
        <w:t>869.99</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A106A7" w:rsidRDefault="0081645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结转结余情况。</w:t>
      </w:r>
      <w:r>
        <w:rPr>
          <w:rFonts w:ascii="Times New Roman" w:eastAsia="方正仿宋_GBK" w:hAnsi="Times New Roman"/>
          <w:sz w:val="32"/>
          <w:szCs w:val="32"/>
        </w:rPr>
        <w:t>无</w:t>
      </w:r>
    </w:p>
    <w:p w:rsidR="00A106A7" w:rsidRDefault="0081645C">
      <w:pPr>
        <w:spacing w:line="579" w:lineRule="exact"/>
        <w:ind w:firstLineChars="200" w:firstLine="643"/>
        <w:jc w:val="both"/>
        <w:rPr>
          <w:rFonts w:ascii="Times New Roman" w:eastAsia="方正仿宋_GBK" w:hAnsi="Times New Roman" w:hint="default"/>
          <w:sz w:val="32"/>
          <w:szCs w:val="32"/>
          <w:highlight w:val="cyan"/>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比较情况。</w:t>
      </w: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年度一般公共预算财政拨款支出主要用于以下几个方面：</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1</w:t>
      </w:r>
      <w:r>
        <w:rPr>
          <w:rFonts w:ascii="Times New Roman" w:eastAsia="方正仿宋_GBK" w:hAnsi="Times New Roman" w:hint="default"/>
          <w:sz w:val="32"/>
          <w:szCs w:val="32"/>
        </w:rPr>
        <w:t>）一般公共服务支出</w:t>
      </w:r>
      <w:r>
        <w:rPr>
          <w:rFonts w:ascii="Times New Roman" w:eastAsia="方正仿宋_GBK" w:hAnsi="Times New Roman" w:hint="default"/>
          <w:sz w:val="32"/>
          <w:szCs w:val="32"/>
        </w:rPr>
        <w:t>519.01</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14.40%</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20.67</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4.2%</w:t>
      </w:r>
      <w:r>
        <w:rPr>
          <w:rFonts w:ascii="Times New Roman" w:eastAsia="方正仿宋_GBK" w:hAnsi="Times New Roman" w:hint="default"/>
          <w:sz w:val="32"/>
          <w:szCs w:val="32"/>
        </w:rPr>
        <w:t>，主要原因是</w:t>
      </w:r>
      <w:r>
        <w:rPr>
          <w:rFonts w:ascii="Times New Roman" w:eastAsia="方正仿宋_GBK" w:hAnsi="Times New Roman" w:hint="default"/>
          <w:sz w:val="32"/>
          <w:szCs w:val="32"/>
        </w:rPr>
        <w:t>2024</w:t>
      </w:r>
      <w:r>
        <w:rPr>
          <w:rFonts w:ascii="Times New Roman" w:eastAsia="方正仿宋_GBK" w:hAnsi="Times New Roman" w:hint="default"/>
          <w:sz w:val="32"/>
          <w:szCs w:val="32"/>
        </w:rPr>
        <w:t>年获得</w:t>
      </w:r>
      <w:r>
        <w:rPr>
          <w:rFonts w:ascii="Times New Roman" w:eastAsia="方正仿宋_GBK" w:hAnsi="Times New Roman"/>
          <w:sz w:val="32"/>
          <w:szCs w:val="32"/>
        </w:rPr>
        <w:t>了</w:t>
      </w:r>
      <w:r>
        <w:rPr>
          <w:rFonts w:ascii="Times New Roman" w:eastAsia="方正仿宋_GBK" w:hAnsi="Times New Roman" w:hint="default"/>
          <w:sz w:val="32"/>
          <w:szCs w:val="32"/>
        </w:rPr>
        <w:t>“</w:t>
      </w:r>
      <w:r>
        <w:rPr>
          <w:rFonts w:ascii="Times New Roman" w:eastAsia="方正仿宋_GBK" w:hAnsi="Times New Roman" w:hint="default"/>
          <w:sz w:val="32"/>
          <w:szCs w:val="32"/>
        </w:rPr>
        <w:t>两榜一链</w:t>
      </w:r>
      <w:r>
        <w:rPr>
          <w:rFonts w:ascii="Times New Roman" w:eastAsia="方正仿宋_GBK" w:hAnsi="Times New Roman" w:hint="default"/>
          <w:sz w:val="32"/>
          <w:szCs w:val="32"/>
        </w:rPr>
        <w:t>”</w:t>
      </w:r>
      <w:r>
        <w:rPr>
          <w:rFonts w:ascii="Times New Roman" w:eastAsia="方正仿宋_GBK" w:hAnsi="Times New Roman" w:hint="default"/>
          <w:sz w:val="32"/>
          <w:szCs w:val="32"/>
        </w:rPr>
        <w:t>上榜单位奖励资金。</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2</w:t>
      </w:r>
      <w:r>
        <w:rPr>
          <w:rFonts w:ascii="Times New Roman" w:eastAsia="方正仿宋_GBK" w:hAnsi="Times New Roman" w:hint="default"/>
          <w:sz w:val="32"/>
          <w:szCs w:val="32"/>
        </w:rPr>
        <w:t>）社会保障与就业支出</w:t>
      </w:r>
      <w:r>
        <w:rPr>
          <w:rFonts w:ascii="Times New Roman" w:eastAsia="方正仿宋_GBK" w:hAnsi="Times New Roman" w:hint="default"/>
          <w:sz w:val="32"/>
          <w:szCs w:val="32"/>
        </w:rPr>
        <w:t>456.28</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12.66%</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37.36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8.9%</w:t>
      </w:r>
      <w:r>
        <w:rPr>
          <w:rFonts w:ascii="Times New Roman" w:eastAsia="方正仿宋_GBK" w:hAnsi="Times New Roman" w:hint="default"/>
          <w:sz w:val="32"/>
          <w:szCs w:val="32"/>
        </w:rPr>
        <w:t>，主要原因是养老保险等社保基数调整。</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lastRenderedPageBreak/>
        <w:t>（</w:t>
      </w:r>
      <w:r>
        <w:rPr>
          <w:rFonts w:ascii="Times New Roman" w:eastAsia="方正仿宋_GBK" w:hAnsi="Times New Roman" w:hint="default"/>
          <w:sz w:val="32"/>
          <w:szCs w:val="32"/>
        </w:rPr>
        <w:t>3</w:t>
      </w:r>
      <w:r>
        <w:rPr>
          <w:rFonts w:ascii="Times New Roman" w:eastAsia="方正仿宋_GBK" w:hAnsi="Times New Roman" w:hint="default"/>
          <w:sz w:val="32"/>
          <w:szCs w:val="32"/>
        </w:rPr>
        <w:t>）卫生健康支出</w:t>
      </w:r>
      <w:r>
        <w:rPr>
          <w:rFonts w:ascii="Times New Roman" w:eastAsia="方正仿宋_GBK" w:hAnsi="Times New Roman" w:hint="default"/>
          <w:sz w:val="32"/>
          <w:szCs w:val="32"/>
        </w:rPr>
        <w:t>75.74</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2.10%</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2.43</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3.1%</w:t>
      </w:r>
      <w:r>
        <w:rPr>
          <w:rFonts w:ascii="Times New Roman" w:eastAsia="方正仿宋_GBK" w:hAnsi="Times New Roman" w:hint="default"/>
          <w:sz w:val="32"/>
          <w:szCs w:val="32"/>
        </w:rPr>
        <w:t>，主要原因是医疗保险等基数调整。</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4</w:t>
      </w:r>
      <w:r>
        <w:rPr>
          <w:rFonts w:ascii="Times New Roman" w:eastAsia="方正仿宋_GBK" w:hAnsi="Times New Roman" w:hint="default"/>
          <w:sz w:val="32"/>
          <w:szCs w:val="32"/>
        </w:rPr>
        <w:t>）资源勘探信息等支出</w:t>
      </w:r>
      <w:r>
        <w:rPr>
          <w:rFonts w:ascii="Times New Roman" w:eastAsia="方正仿宋_GBK" w:hAnsi="Times New Roman" w:hint="default"/>
          <w:sz w:val="32"/>
          <w:szCs w:val="32"/>
        </w:rPr>
        <w:t>779.65</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21.64%</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779.65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100.0%</w:t>
      </w:r>
      <w:r>
        <w:rPr>
          <w:rFonts w:ascii="Times New Roman" w:eastAsia="方正仿宋_GBK" w:hAnsi="Times New Roman" w:hint="default"/>
          <w:sz w:val="32"/>
          <w:szCs w:val="32"/>
        </w:rPr>
        <w:t>，主要原因是兑现市场主体培育奖励政策支出增加。</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5</w:t>
      </w:r>
      <w:r>
        <w:rPr>
          <w:rFonts w:ascii="Times New Roman" w:eastAsia="方正仿宋_GBK" w:hAnsi="Times New Roman" w:hint="default"/>
          <w:sz w:val="32"/>
          <w:szCs w:val="32"/>
        </w:rPr>
        <w:t>）商业服务业等支出</w:t>
      </w:r>
      <w:r>
        <w:rPr>
          <w:rFonts w:ascii="Times New Roman" w:eastAsia="方正仿宋_GBK" w:hAnsi="Times New Roman" w:hint="default"/>
          <w:sz w:val="32"/>
          <w:szCs w:val="32"/>
        </w:rPr>
        <w:t>1693.90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47.01%</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1716.65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50.3%</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6</w:t>
      </w:r>
      <w:r>
        <w:rPr>
          <w:rFonts w:ascii="Times New Roman" w:eastAsia="方正仿宋_GBK" w:hAnsi="Times New Roman" w:hint="default"/>
          <w:sz w:val="32"/>
          <w:szCs w:val="32"/>
        </w:rPr>
        <w:t>）住房保障支出</w:t>
      </w:r>
      <w:r>
        <w:rPr>
          <w:rFonts w:ascii="Times New Roman" w:eastAsia="方正仿宋_GBK" w:hAnsi="Times New Roman" w:hint="default"/>
          <w:sz w:val="32"/>
          <w:szCs w:val="32"/>
        </w:rPr>
        <w:t>45.53</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1.26%</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2.18</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4.6%</w:t>
      </w:r>
      <w:r>
        <w:rPr>
          <w:rFonts w:ascii="Times New Roman" w:eastAsia="方正仿宋_GBK" w:hAnsi="Times New Roman" w:hint="default"/>
          <w:sz w:val="32"/>
          <w:szCs w:val="32"/>
        </w:rPr>
        <w:t>，主要原因是职工公积金基数调整。</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7</w:t>
      </w:r>
      <w:r>
        <w:rPr>
          <w:rFonts w:ascii="Times New Roman" w:eastAsia="方正仿宋_GBK" w:hAnsi="Times New Roman" w:hint="default"/>
          <w:sz w:val="32"/>
          <w:szCs w:val="32"/>
        </w:rPr>
        <w:t>）粮油物资储备支出</w:t>
      </w:r>
      <w:r>
        <w:rPr>
          <w:rFonts w:ascii="Times New Roman" w:eastAsia="方正仿宋_GBK" w:hAnsi="Times New Roman" w:hint="default"/>
          <w:sz w:val="32"/>
          <w:szCs w:val="32"/>
        </w:rPr>
        <w:t>32.90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0.91%</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13.59</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70.4%</w:t>
      </w:r>
      <w:r>
        <w:rPr>
          <w:rFonts w:ascii="Times New Roman" w:eastAsia="方正仿宋_GBK" w:hAnsi="Times New Roman" w:hint="default"/>
          <w:sz w:val="32"/>
          <w:szCs w:val="32"/>
        </w:rPr>
        <w:t>，主要原因是政府冻猪肉储备费用增加。</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（四）一般公共预算财政拨款基本支出决算情况说明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年度一般公共财政拨款基本支出</w:t>
      </w:r>
      <w:r>
        <w:rPr>
          <w:rFonts w:ascii="Times New Roman" w:eastAsia="方正仿宋_GBK" w:hAnsi="Times New Roman" w:hint="default"/>
          <w:sz w:val="32"/>
          <w:szCs w:val="32"/>
        </w:rPr>
        <w:t>1045.04</w:t>
      </w:r>
      <w:r>
        <w:rPr>
          <w:rFonts w:ascii="Times New Roman" w:eastAsia="方正仿宋_GBK" w:hAnsi="Times New Roman" w:hint="default"/>
          <w:sz w:val="32"/>
          <w:szCs w:val="32"/>
        </w:rPr>
        <w:t>万元。其中：人员经费</w:t>
      </w:r>
      <w:r>
        <w:rPr>
          <w:rFonts w:ascii="Times New Roman" w:eastAsia="方正仿宋_GBK" w:hAnsi="Times New Roman" w:hint="default"/>
          <w:sz w:val="32"/>
          <w:szCs w:val="32"/>
        </w:rPr>
        <w:t>962.31</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25.47</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2.6%</w:t>
      </w:r>
      <w:r>
        <w:rPr>
          <w:rFonts w:ascii="Times New Roman" w:eastAsia="方正仿宋_GBK" w:hAnsi="Times New Roman" w:hint="default"/>
          <w:sz w:val="32"/>
          <w:szCs w:val="32"/>
        </w:rPr>
        <w:t>，主要原因是职工工资福利、社保等基本支出减少。人员经费用途主要包括基本工资、津贴补贴、奖金、社会保障缴费、离退休费及生活补助、抚恤金等。公用经费</w:t>
      </w:r>
      <w:r>
        <w:rPr>
          <w:rFonts w:ascii="Times New Roman" w:eastAsia="方正仿宋_GBK" w:hAnsi="Times New Roman" w:hint="default"/>
          <w:sz w:val="32"/>
          <w:szCs w:val="32"/>
        </w:rPr>
        <w:t>82.73</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16.75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16.8%</w:t>
      </w:r>
      <w:r>
        <w:rPr>
          <w:rFonts w:ascii="Times New Roman" w:eastAsia="方正仿宋_GBK" w:hAnsi="Times New Roman" w:hint="default"/>
          <w:sz w:val="32"/>
          <w:szCs w:val="32"/>
        </w:rPr>
        <w:t>，主要原因是按照政府过紧日子要求，会议费、水电费等办公费用支出减少。公用经费</w:t>
      </w:r>
      <w:r>
        <w:rPr>
          <w:rFonts w:ascii="Times New Roman" w:eastAsia="方正仿宋_GBK" w:hAnsi="Times New Roman" w:hint="default"/>
          <w:sz w:val="32"/>
          <w:szCs w:val="32"/>
        </w:rPr>
        <w:lastRenderedPageBreak/>
        <w:t>用途主要包括办公费、邮电费、水费、电费、差旅费、维修（护）费、培训费、会议费、办公设备购置费等。</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（五）政府性基金预算收支决算情况说明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年度无政府性基金预算财政拨款收支。</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（六）国有资本经营预算财政拨款支出决算情况说明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年度无国有资本经营预算财政拨款支出。</w:t>
      </w:r>
    </w:p>
    <w:p w:rsidR="00A106A7" w:rsidRDefault="0081645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三、</w:t>
      </w:r>
      <w:r>
        <w:rPr>
          <w:rFonts w:ascii="Times New Roman" w:eastAsia="方正黑体_GBK" w:hAnsi="Times New Roman" w:hint="default"/>
          <w:sz w:val="32"/>
          <w:szCs w:val="32"/>
        </w:rPr>
        <w:t>“</w:t>
      </w:r>
      <w:r>
        <w:rPr>
          <w:rFonts w:ascii="Times New Roman" w:eastAsia="方正黑体_GBK" w:hAnsi="Times New Roman" w:hint="default"/>
          <w:sz w:val="32"/>
          <w:szCs w:val="32"/>
        </w:rPr>
        <w:t>三公</w:t>
      </w:r>
      <w:r>
        <w:rPr>
          <w:rFonts w:ascii="Times New Roman" w:eastAsia="方正黑体_GBK" w:hAnsi="Times New Roman" w:hint="default"/>
          <w:sz w:val="32"/>
          <w:szCs w:val="32"/>
        </w:rPr>
        <w:t>”</w:t>
      </w:r>
      <w:r>
        <w:rPr>
          <w:rFonts w:ascii="Times New Roman" w:eastAsia="方正黑体_GBK" w:hAnsi="Times New Roman" w:hint="default"/>
          <w:sz w:val="32"/>
          <w:szCs w:val="32"/>
        </w:rPr>
        <w:t>经费情况说明</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经费支出总体情况说明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经费支出共计</w:t>
      </w:r>
      <w:r>
        <w:rPr>
          <w:rFonts w:ascii="Times New Roman" w:eastAsia="方正仿宋_GBK" w:hAnsi="Times New Roman" w:hint="default"/>
          <w:sz w:val="32"/>
          <w:szCs w:val="32"/>
        </w:rPr>
        <w:t>8.88</w:t>
      </w:r>
      <w:r>
        <w:rPr>
          <w:rFonts w:ascii="Times New Roman" w:eastAsia="方正仿宋_GBK" w:hAnsi="Times New Roman" w:hint="default"/>
          <w:sz w:val="32"/>
          <w:szCs w:val="32"/>
        </w:rPr>
        <w:t>万元，较年初预算数减少</w:t>
      </w:r>
      <w:r>
        <w:rPr>
          <w:rFonts w:ascii="Times New Roman" w:eastAsia="方正仿宋_GBK" w:hAnsi="Times New Roman" w:hint="default"/>
          <w:sz w:val="32"/>
          <w:szCs w:val="32"/>
        </w:rPr>
        <w:t>3.12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26.0%</w:t>
      </w:r>
      <w:r>
        <w:rPr>
          <w:rFonts w:ascii="Times New Roman" w:eastAsia="方正仿宋_GBK" w:hAnsi="Times New Roman" w:hint="default"/>
          <w:sz w:val="32"/>
          <w:szCs w:val="32"/>
        </w:rPr>
        <w:t>，主要原因是认真贯彻落实中央八项规定精神，按照只减不增的要求从严控制</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经费，全年实际支出较预算有所下降。较上年支出数减少</w:t>
      </w:r>
      <w:r>
        <w:rPr>
          <w:rFonts w:ascii="Times New Roman" w:eastAsia="方正仿宋_GBK" w:hAnsi="Times New Roman" w:hint="default"/>
          <w:sz w:val="32"/>
          <w:szCs w:val="32"/>
        </w:rPr>
        <w:t>1.32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12.9%</w:t>
      </w:r>
      <w:r>
        <w:rPr>
          <w:rFonts w:ascii="Times New Roman" w:eastAsia="方正仿宋_GBK" w:hAnsi="Times New Roman" w:hint="default"/>
          <w:sz w:val="32"/>
          <w:szCs w:val="32"/>
        </w:rPr>
        <w:t>，主要原因是严格按照</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经费支出要求厉行节约，严格控制非必要</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经费支出，公务接待费用减少。</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经费分项支出情况</w:t>
      </w:r>
    </w:p>
    <w:p w:rsidR="007B25B7" w:rsidRDefault="007B25B7">
      <w:pPr>
        <w:spacing w:line="579" w:lineRule="exact"/>
        <w:ind w:firstLineChars="200" w:firstLine="640"/>
        <w:jc w:val="both"/>
        <w:rPr>
          <w:rFonts w:ascii="Times New Roman" w:eastAsia="方正仿宋_GBK" w:hAnsi="Times New Roman" w:hint="default"/>
          <w:sz w:val="32"/>
          <w:szCs w:val="32"/>
        </w:rPr>
      </w:pPr>
      <w:r w:rsidRPr="007B25B7">
        <w:rPr>
          <w:rFonts w:ascii="Times New Roman" w:eastAsia="方正仿宋_GBK" w:hAnsi="Times New Roman" w:hint="default"/>
          <w:sz w:val="32"/>
          <w:szCs w:val="32"/>
        </w:rPr>
        <w:t>2024</w:t>
      </w:r>
      <w:r w:rsidRPr="007B25B7">
        <w:rPr>
          <w:rFonts w:ascii="Times New Roman" w:eastAsia="方正仿宋_GBK" w:hAnsi="Times New Roman" w:hint="default"/>
          <w:sz w:val="32"/>
          <w:szCs w:val="32"/>
        </w:rPr>
        <w:t>年度本部门因公出国（境）费用</w:t>
      </w:r>
      <w:r w:rsidRPr="007B25B7">
        <w:rPr>
          <w:rFonts w:ascii="Times New Roman" w:eastAsia="方正仿宋_GBK" w:hAnsi="Times New Roman" w:hint="default"/>
          <w:sz w:val="32"/>
          <w:szCs w:val="32"/>
        </w:rPr>
        <w:t>0.00</w:t>
      </w:r>
      <w:r>
        <w:rPr>
          <w:rFonts w:ascii="Times New Roman" w:eastAsia="方正仿宋_GBK" w:hAnsi="Times New Roman" w:hint="default"/>
          <w:sz w:val="32"/>
          <w:szCs w:val="32"/>
        </w:rPr>
        <w:t>万元。费用支出较年初预算数</w:t>
      </w:r>
      <w:r w:rsidRPr="007B25B7">
        <w:rPr>
          <w:rFonts w:ascii="Times New Roman" w:eastAsia="方正仿宋_GBK" w:hAnsi="Times New Roman" w:hint="default"/>
          <w:sz w:val="32"/>
          <w:szCs w:val="32"/>
        </w:rPr>
        <w:t>无增减。与</w:t>
      </w:r>
      <w:r w:rsidRPr="007B25B7">
        <w:rPr>
          <w:rFonts w:ascii="Times New Roman" w:eastAsia="方正仿宋_GBK" w:hAnsi="Times New Roman" w:hint="default"/>
          <w:sz w:val="32"/>
          <w:szCs w:val="32"/>
        </w:rPr>
        <w:t>2023</w:t>
      </w:r>
      <w:r w:rsidRPr="007B25B7">
        <w:rPr>
          <w:rFonts w:ascii="Times New Roman" w:eastAsia="方正仿宋_GBK" w:hAnsi="Times New Roman" w:hint="default"/>
          <w:sz w:val="32"/>
          <w:szCs w:val="32"/>
        </w:rPr>
        <w:t>年度相比，无增减。公务车购置费</w:t>
      </w:r>
      <w:r w:rsidRPr="007B25B7">
        <w:rPr>
          <w:rFonts w:ascii="Times New Roman" w:eastAsia="方正仿宋_GBK" w:hAnsi="Times New Roman" w:hint="default"/>
          <w:sz w:val="32"/>
          <w:szCs w:val="32"/>
        </w:rPr>
        <w:t>0.00</w:t>
      </w:r>
      <w:r>
        <w:rPr>
          <w:rFonts w:ascii="Times New Roman" w:eastAsia="方正仿宋_GBK" w:hAnsi="Times New Roman" w:hint="default"/>
          <w:sz w:val="32"/>
          <w:szCs w:val="32"/>
        </w:rPr>
        <w:t>万元。费用支出较年初预算数</w:t>
      </w:r>
      <w:r w:rsidRPr="007B25B7">
        <w:rPr>
          <w:rFonts w:ascii="Times New Roman" w:eastAsia="方正仿宋_GBK" w:hAnsi="Times New Roman" w:hint="default"/>
          <w:sz w:val="32"/>
          <w:szCs w:val="32"/>
        </w:rPr>
        <w:t>无增减。与</w:t>
      </w:r>
      <w:r w:rsidRPr="007B25B7">
        <w:rPr>
          <w:rFonts w:ascii="Times New Roman" w:eastAsia="方正仿宋_GBK" w:hAnsi="Times New Roman" w:hint="default"/>
          <w:sz w:val="32"/>
          <w:szCs w:val="32"/>
        </w:rPr>
        <w:t>2023</w:t>
      </w:r>
      <w:r w:rsidRPr="007B25B7">
        <w:rPr>
          <w:rFonts w:ascii="Times New Roman" w:eastAsia="方正仿宋_GBK" w:hAnsi="Times New Roman" w:hint="default"/>
          <w:sz w:val="32"/>
          <w:szCs w:val="32"/>
        </w:rPr>
        <w:t>年度相比，无增减。</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公务车运行维护费</w:t>
      </w:r>
      <w:r>
        <w:rPr>
          <w:rFonts w:ascii="Times New Roman" w:eastAsia="方正仿宋_GBK" w:hAnsi="Times New Roman" w:hint="default"/>
          <w:sz w:val="32"/>
          <w:szCs w:val="32"/>
        </w:rPr>
        <w:t>7.00</w:t>
      </w:r>
      <w:r>
        <w:rPr>
          <w:rFonts w:ascii="Times New Roman" w:eastAsia="方正仿宋_GBK" w:hAnsi="Times New Roman" w:hint="default"/>
          <w:sz w:val="32"/>
          <w:szCs w:val="32"/>
        </w:rPr>
        <w:t>万元，主要用于机要文件交换、市内因公出行、安全检查等工作所需车辆的燃料费、维修费、路桥费、保险费、洗车费等。费用支出较年初预算数无增减，主要原</w:t>
      </w:r>
      <w:r>
        <w:rPr>
          <w:rFonts w:ascii="Times New Roman" w:eastAsia="方正仿宋_GBK" w:hAnsi="Times New Roman" w:hint="default"/>
          <w:sz w:val="32"/>
          <w:szCs w:val="32"/>
        </w:rPr>
        <w:lastRenderedPageBreak/>
        <w:t>因是持续厉行节约，控制公车运行成本。较上年支出数无增减，主要原因是持续厉行节约，控制公车运行成本。</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公务接待费</w:t>
      </w:r>
      <w:r>
        <w:rPr>
          <w:rFonts w:ascii="Times New Roman" w:eastAsia="方正仿宋_GBK" w:hAnsi="Times New Roman" w:hint="default"/>
          <w:sz w:val="32"/>
          <w:szCs w:val="32"/>
        </w:rPr>
        <w:t>1.88</w:t>
      </w:r>
      <w:r>
        <w:rPr>
          <w:rFonts w:ascii="Times New Roman" w:eastAsia="方正仿宋_GBK" w:hAnsi="Times New Roman" w:hint="default"/>
          <w:sz w:val="32"/>
          <w:szCs w:val="32"/>
        </w:rPr>
        <w:t>万元，主要用于相关部门检查指导工作发生的接待费用及招商引资相关支出。费用支出较年初预算数减少</w:t>
      </w:r>
      <w:r>
        <w:rPr>
          <w:rFonts w:ascii="Times New Roman" w:eastAsia="方正仿宋_GBK" w:hAnsi="Times New Roman" w:hint="default"/>
          <w:sz w:val="32"/>
          <w:szCs w:val="32"/>
        </w:rPr>
        <w:t>3.12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62.4%</w:t>
      </w:r>
      <w:r>
        <w:rPr>
          <w:rFonts w:ascii="Times New Roman" w:eastAsia="方正仿宋_GBK" w:hAnsi="Times New Roman" w:hint="default"/>
          <w:sz w:val="32"/>
          <w:szCs w:val="32"/>
        </w:rPr>
        <w:t>，主要原因是强化公务接待支出管理，严格遵守公务接待开支范围和开支标准，严格控制陪餐人数。较上年支出数减少</w:t>
      </w:r>
      <w:r>
        <w:rPr>
          <w:rFonts w:ascii="Times New Roman" w:eastAsia="方正仿宋_GBK" w:hAnsi="Times New Roman" w:hint="default"/>
          <w:sz w:val="32"/>
          <w:szCs w:val="32"/>
        </w:rPr>
        <w:t>1.32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41.3%</w:t>
      </w:r>
      <w:r>
        <w:rPr>
          <w:rFonts w:ascii="Times New Roman" w:eastAsia="方正仿宋_GBK" w:hAnsi="Times New Roman" w:hint="default"/>
          <w:sz w:val="32"/>
          <w:szCs w:val="32"/>
        </w:rPr>
        <w:t>，主要原因是严格按照</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经费支出要求厉行节约，严格控制非必要</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经费支出，公务接待费用减少。</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经费实物量情况</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年度本部门因公出国（境）共计</w:t>
      </w:r>
      <w:r>
        <w:rPr>
          <w:rFonts w:ascii="Times New Roman" w:eastAsia="方正仿宋_GBK" w:hAnsi="Times New Roman" w:hint="default"/>
          <w:sz w:val="32"/>
          <w:szCs w:val="32"/>
        </w:rPr>
        <w:t>0</w:t>
      </w:r>
      <w:r>
        <w:rPr>
          <w:rFonts w:ascii="Times New Roman" w:eastAsia="方正仿宋_GBK" w:hAnsi="Times New Roman" w:hint="default"/>
          <w:sz w:val="32"/>
          <w:szCs w:val="32"/>
        </w:rPr>
        <w:t>个团组，</w:t>
      </w:r>
      <w:r>
        <w:rPr>
          <w:rFonts w:ascii="Times New Roman" w:eastAsia="方正仿宋_GBK" w:hAnsi="Times New Roman" w:hint="default"/>
          <w:sz w:val="32"/>
          <w:szCs w:val="32"/>
        </w:rPr>
        <w:t>0</w:t>
      </w:r>
      <w:r>
        <w:rPr>
          <w:rFonts w:ascii="Times New Roman" w:eastAsia="方正仿宋_GBK" w:hAnsi="Times New Roman" w:hint="default"/>
          <w:sz w:val="32"/>
          <w:szCs w:val="32"/>
        </w:rPr>
        <w:t>人；公务用车购置</w:t>
      </w:r>
      <w:r>
        <w:rPr>
          <w:rFonts w:ascii="Times New Roman" w:eastAsia="方正仿宋_GBK" w:hAnsi="Times New Roman" w:hint="default"/>
          <w:sz w:val="32"/>
          <w:szCs w:val="32"/>
        </w:rPr>
        <w:t>0</w:t>
      </w:r>
      <w:r>
        <w:rPr>
          <w:rFonts w:ascii="Times New Roman" w:eastAsia="方正仿宋_GBK" w:hAnsi="Times New Roman" w:hint="default"/>
          <w:sz w:val="32"/>
          <w:szCs w:val="32"/>
        </w:rPr>
        <w:t>辆，公务车保有量为</w:t>
      </w:r>
      <w:r>
        <w:rPr>
          <w:rFonts w:ascii="Times New Roman" w:eastAsia="方正仿宋_GBK" w:hAnsi="Times New Roman" w:hint="default"/>
          <w:sz w:val="32"/>
          <w:szCs w:val="32"/>
        </w:rPr>
        <w:t>2</w:t>
      </w:r>
      <w:r>
        <w:rPr>
          <w:rFonts w:ascii="Times New Roman" w:eastAsia="方正仿宋_GBK" w:hAnsi="Times New Roman" w:hint="default"/>
          <w:sz w:val="32"/>
          <w:szCs w:val="32"/>
        </w:rPr>
        <w:t>辆；国内公务接待</w:t>
      </w:r>
      <w:r>
        <w:rPr>
          <w:rFonts w:ascii="Times New Roman" w:eastAsia="方正仿宋_GBK" w:hAnsi="Times New Roman" w:hint="default"/>
          <w:sz w:val="32"/>
          <w:szCs w:val="32"/>
        </w:rPr>
        <w:t>29</w:t>
      </w:r>
      <w:r>
        <w:rPr>
          <w:rFonts w:ascii="Times New Roman" w:eastAsia="方正仿宋_GBK" w:hAnsi="Times New Roman" w:hint="default"/>
          <w:sz w:val="32"/>
          <w:szCs w:val="32"/>
        </w:rPr>
        <w:t>批次</w:t>
      </w:r>
      <w:r>
        <w:rPr>
          <w:rFonts w:ascii="Times New Roman" w:eastAsia="方正仿宋_GBK" w:hAnsi="Times New Roman" w:hint="default"/>
          <w:sz w:val="32"/>
          <w:szCs w:val="32"/>
        </w:rPr>
        <w:t>258</w:t>
      </w:r>
      <w:r>
        <w:rPr>
          <w:rFonts w:ascii="Times New Roman" w:eastAsia="方正仿宋_GBK" w:hAnsi="Times New Roman" w:hint="default"/>
          <w:sz w:val="32"/>
          <w:szCs w:val="32"/>
        </w:rPr>
        <w:t>人，其中：国内外事接待</w:t>
      </w:r>
      <w:r>
        <w:rPr>
          <w:rFonts w:ascii="Times New Roman" w:eastAsia="方正仿宋_GBK" w:hAnsi="Times New Roman" w:hint="default"/>
          <w:sz w:val="32"/>
          <w:szCs w:val="32"/>
        </w:rPr>
        <w:t>0</w:t>
      </w:r>
      <w:r>
        <w:rPr>
          <w:rFonts w:ascii="Times New Roman" w:eastAsia="方正仿宋_GBK" w:hAnsi="Times New Roman" w:hint="default"/>
          <w:sz w:val="32"/>
          <w:szCs w:val="32"/>
        </w:rPr>
        <w:t>批次，</w:t>
      </w:r>
      <w:r>
        <w:rPr>
          <w:rFonts w:ascii="Times New Roman" w:eastAsia="方正仿宋_GBK" w:hAnsi="Times New Roman" w:hint="default"/>
          <w:sz w:val="32"/>
          <w:szCs w:val="32"/>
        </w:rPr>
        <w:t>0</w:t>
      </w:r>
      <w:r>
        <w:rPr>
          <w:rFonts w:ascii="Times New Roman" w:eastAsia="方正仿宋_GBK" w:hAnsi="Times New Roman" w:hint="default"/>
          <w:sz w:val="32"/>
          <w:szCs w:val="32"/>
        </w:rPr>
        <w:t>人；国（境）外公务接待</w:t>
      </w:r>
      <w:r>
        <w:rPr>
          <w:rFonts w:ascii="Times New Roman" w:eastAsia="方正仿宋_GBK" w:hAnsi="Times New Roman" w:hint="default"/>
          <w:sz w:val="32"/>
          <w:szCs w:val="32"/>
        </w:rPr>
        <w:t>0</w:t>
      </w:r>
      <w:r>
        <w:rPr>
          <w:rFonts w:ascii="Times New Roman" w:eastAsia="方正仿宋_GBK" w:hAnsi="Times New Roman" w:hint="default"/>
          <w:sz w:val="32"/>
          <w:szCs w:val="32"/>
        </w:rPr>
        <w:t>批次，</w:t>
      </w:r>
      <w:r>
        <w:rPr>
          <w:rFonts w:ascii="Times New Roman" w:eastAsia="方正仿宋_GBK" w:hAnsi="Times New Roman" w:hint="default"/>
          <w:sz w:val="32"/>
          <w:szCs w:val="32"/>
        </w:rPr>
        <w:t>0</w:t>
      </w:r>
      <w:r>
        <w:rPr>
          <w:rFonts w:ascii="Times New Roman" w:eastAsia="方正仿宋_GBK" w:hAnsi="Times New Roman" w:hint="default"/>
          <w:sz w:val="32"/>
          <w:szCs w:val="32"/>
        </w:rPr>
        <w:t>人。</w:t>
      </w:r>
      <w:r>
        <w:rPr>
          <w:rFonts w:ascii="Times New Roman" w:eastAsia="方正仿宋_GBK" w:hAnsi="Times New Roman" w:hint="default"/>
          <w:sz w:val="32"/>
          <w:szCs w:val="32"/>
        </w:rPr>
        <w:t>2024</w:t>
      </w:r>
      <w:r>
        <w:rPr>
          <w:rFonts w:ascii="Times New Roman" w:eastAsia="方正仿宋_GBK" w:hAnsi="Times New Roman" w:hint="default"/>
          <w:sz w:val="32"/>
          <w:szCs w:val="32"/>
        </w:rPr>
        <w:t>年本部门人均接待费</w:t>
      </w:r>
      <w:r>
        <w:rPr>
          <w:rFonts w:ascii="Times New Roman" w:eastAsia="方正仿宋_GBK" w:hAnsi="Times New Roman" w:hint="default"/>
          <w:sz w:val="32"/>
          <w:szCs w:val="32"/>
        </w:rPr>
        <w:t>72.97</w:t>
      </w:r>
      <w:r>
        <w:rPr>
          <w:rFonts w:ascii="Times New Roman" w:eastAsia="方正仿宋_GBK" w:hAnsi="Times New Roman" w:hint="default"/>
          <w:sz w:val="32"/>
          <w:szCs w:val="32"/>
        </w:rPr>
        <w:t>元，车均购置费</w:t>
      </w:r>
      <w:r>
        <w:rPr>
          <w:rFonts w:ascii="Times New Roman" w:eastAsia="方正仿宋_GBK" w:hAnsi="Times New Roman" w:hint="default"/>
          <w:sz w:val="32"/>
          <w:szCs w:val="32"/>
        </w:rPr>
        <w:t>0</w:t>
      </w:r>
      <w:r>
        <w:rPr>
          <w:rFonts w:ascii="Times New Roman" w:eastAsia="方正仿宋_GBK" w:hAnsi="Times New Roman" w:hint="default"/>
          <w:sz w:val="32"/>
          <w:szCs w:val="32"/>
        </w:rPr>
        <w:t>万元，车均维护费</w:t>
      </w:r>
      <w:r>
        <w:rPr>
          <w:rFonts w:ascii="Times New Roman" w:eastAsia="方正仿宋_GBK" w:hAnsi="Times New Roman" w:hint="default"/>
          <w:sz w:val="32"/>
          <w:szCs w:val="32"/>
        </w:rPr>
        <w:t>3.50</w:t>
      </w:r>
      <w:r>
        <w:rPr>
          <w:rFonts w:ascii="Times New Roman" w:eastAsia="方正仿宋_GBK" w:hAnsi="Times New Roman" w:hint="default"/>
          <w:sz w:val="32"/>
          <w:szCs w:val="32"/>
        </w:rPr>
        <w:t>万元。</w:t>
      </w:r>
    </w:p>
    <w:p w:rsidR="00A106A7" w:rsidRDefault="0081645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四、其他需要说明的事项</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（一）财政拨款会议费和培训费情况说明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本年度会议费支出</w:t>
      </w:r>
      <w:r>
        <w:rPr>
          <w:rFonts w:ascii="Times New Roman" w:eastAsia="方正仿宋_GBK" w:hAnsi="Times New Roman" w:hint="default"/>
          <w:sz w:val="32"/>
          <w:szCs w:val="32"/>
        </w:rPr>
        <w:t>0.30</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0.50</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62.5%</w:t>
      </w:r>
      <w:r>
        <w:rPr>
          <w:rFonts w:ascii="Times New Roman" w:eastAsia="方正仿宋_GBK" w:hAnsi="Times New Roman" w:hint="default"/>
          <w:sz w:val="32"/>
          <w:szCs w:val="32"/>
        </w:rPr>
        <w:t>，主要原因是商贸流通方面的会议次数减少。本年度培训费支出</w:t>
      </w:r>
      <w:r>
        <w:rPr>
          <w:rFonts w:ascii="Times New Roman" w:eastAsia="方正仿宋_GBK" w:hAnsi="Times New Roman" w:hint="default"/>
          <w:sz w:val="32"/>
          <w:szCs w:val="32"/>
        </w:rPr>
        <w:t>1.78</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0.56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45.9%</w:t>
      </w:r>
      <w:r>
        <w:rPr>
          <w:rFonts w:ascii="Times New Roman" w:eastAsia="方正仿宋_GBK" w:hAnsi="Times New Roman" w:hint="default"/>
          <w:sz w:val="32"/>
          <w:szCs w:val="32"/>
        </w:rPr>
        <w:t>，主要原因是根据单位工作需要，派职工参加培训的人数、次数及费用增加。</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lastRenderedPageBreak/>
        <w:t>（二）机关运行经费情况说明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年度本部门机关运行经费支出</w:t>
      </w:r>
      <w:r w:rsidR="00640809">
        <w:rPr>
          <w:rFonts w:ascii="Times New Roman" w:eastAsia="方正仿宋_GBK" w:hAnsi="Times New Roman" w:hint="default"/>
          <w:sz w:val="32"/>
          <w:szCs w:val="32"/>
        </w:rPr>
        <w:t>82.73</w:t>
      </w:r>
      <w:r>
        <w:rPr>
          <w:rFonts w:ascii="Times New Roman" w:eastAsia="方正仿宋_GBK" w:hAnsi="Times New Roman" w:hint="default"/>
          <w:sz w:val="32"/>
          <w:szCs w:val="32"/>
        </w:rPr>
        <w:t>万元，机关运行经费主要用于开支办公费、邮电费、水电费、维修（护）费、差旅费、会议费、培训费、办公设备购置费、公务接待费、公务车运行维护费、其他交通费用等保障机关正常运行等方面的日常支出。机关运行经费较上年支出数减少</w:t>
      </w:r>
      <w:r>
        <w:rPr>
          <w:rFonts w:ascii="Times New Roman" w:eastAsia="方正仿宋_GBK" w:hAnsi="Times New Roman" w:hint="default"/>
          <w:sz w:val="32"/>
          <w:szCs w:val="32"/>
        </w:rPr>
        <w:t>16.75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16.8%</w:t>
      </w:r>
      <w:r>
        <w:rPr>
          <w:rFonts w:ascii="Times New Roman" w:eastAsia="方正仿宋_GBK" w:hAnsi="Times New Roman" w:hint="default"/>
          <w:sz w:val="32"/>
          <w:szCs w:val="32"/>
        </w:rPr>
        <w:t>，主要原因是按照政府过紧日子的要求，严格办公费用支出。</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（三）国有资产占用情况说明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截至</w:t>
      </w:r>
      <w:r>
        <w:rPr>
          <w:rFonts w:ascii="Times New Roman" w:eastAsia="方正仿宋_GBK" w:hAnsi="Times New Roman" w:hint="default"/>
          <w:sz w:val="32"/>
          <w:szCs w:val="32"/>
        </w:rPr>
        <w:t>2024</w:t>
      </w:r>
      <w:r>
        <w:rPr>
          <w:rFonts w:ascii="Times New Roman" w:eastAsia="方正仿宋_GBK" w:hAnsi="Times New Roman" w:hint="default"/>
          <w:sz w:val="32"/>
          <w:szCs w:val="32"/>
        </w:rPr>
        <w:t>年</w:t>
      </w:r>
      <w:r>
        <w:rPr>
          <w:rFonts w:ascii="Times New Roman" w:eastAsia="方正仿宋_GBK" w:hAnsi="Times New Roman" w:hint="default"/>
          <w:sz w:val="32"/>
          <w:szCs w:val="32"/>
        </w:rPr>
        <w:t>12</w:t>
      </w:r>
      <w:r>
        <w:rPr>
          <w:rFonts w:ascii="Times New Roman" w:eastAsia="方正仿宋_GBK" w:hAnsi="Times New Roman" w:hint="default"/>
          <w:sz w:val="32"/>
          <w:szCs w:val="32"/>
        </w:rPr>
        <w:t>月</w:t>
      </w:r>
      <w:r>
        <w:rPr>
          <w:rFonts w:ascii="Times New Roman" w:eastAsia="方正仿宋_GBK" w:hAnsi="Times New Roman" w:hint="default"/>
          <w:sz w:val="32"/>
          <w:szCs w:val="32"/>
        </w:rPr>
        <w:t>31</w:t>
      </w:r>
      <w:r>
        <w:rPr>
          <w:rFonts w:ascii="Times New Roman" w:eastAsia="方正仿宋_GBK" w:hAnsi="Times New Roman" w:hint="default"/>
          <w:sz w:val="32"/>
          <w:szCs w:val="32"/>
        </w:rPr>
        <w:t>日，本部门共有车辆</w:t>
      </w:r>
      <w:r>
        <w:rPr>
          <w:rFonts w:ascii="Times New Roman" w:eastAsia="方正仿宋_GBK" w:hAnsi="Times New Roman" w:hint="default"/>
          <w:sz w:val="32"/>
          <w:szCs w:val="32"/>
        </w:rPr>
        <w:t>2</w:t>
      </w:r>
      <w:r>
        <w:rPr>
          <w:rFonts w:ascii="Times New Roman" w:eastAsia="方正仿宋_GBK" w:hAnsi="Times New Roman" w:hint="default"/>
          <w:sz w:val="32"/>
          <w:szCs w:val="32"/>
        </w:rPr>
        <w:t>辆，其中，副部（省）级及以上领导用车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辆、主要负责人用车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辆、机要通信用车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辆、应急保障用车</w:t>
      </w:r>
      <w:r>
        <w:rPr>
          <w:rFonts w:ascii="Times New Roman" w:eastAsia="方正仿宋_GBK" w:hAnsi="Times New Roman" w:hint="default"/>
          <w:sz w:val="32"/>
          <w:szCs w:val="32"/>
        </w:rPr>
        <w:t>2</w:t>
      </w:r>
      <w:r>
        <w:rPr>
          <w:rFonts w:ascii="Times New Roman" w:eastAsia="方正仿宋_GBK" w:hAnsi="Times New Roman" w:hint="default"/>
          <w:sz w:val="32"/>
          <w:szCs w:val="32"/>
        </w:rPr>
        <w:t>辆、执法执勤用车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辆，特种专业技术用车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辆，离退休干部用车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辆。单价</w:t>
      </w:r>
      <w:r>
        <w:rPr>
          <w:rFonts w:ascii="Times New Roman" w:eastAsia="方正仿宋_GBK" w:hAnsi="Times New Roman" w:hint="default"/>
          <w:sz w:val="32"/>
          <w:szCs w:val="32"/>
        </w:rPr>
        <w:t>100</w:t>
      </w:r>
      <w:r>
        <w:rPr>
          <w:rFonts w:ascii="Times New Roman" w:eastAsia="方正仿宋_GBK" w:hAnsi="Times New Roman" w:hint="default"/>
          <w:sz w:val="32"/>
          <w:szCs w:val="32"/>
        </w:rPr>
        <w:t>万元（含）以上专用设备</w:t>
      </w:r>
      <w:r>
        <w:rPr>
          <w:rFonts w:ascii="Times New Roman" w:eastAsia="方正仿宋_GBK" w:hAnsi="Times New Roman" w:hint="default"/>
          <w:sz w:val="32"/>
          <w:szCs w:val="32"/>
        </w:rPr>
        <w:t>0</w:t>
      </w:r>
      <w:r>
        <w:rPr>
          <w:rFonts w:ascii="Times New Roman" w:eastAsia="方正仿宋_GBK" w:hAnsi="Times New Roman" w:hint="default"/>
          <w:sz w:val="32"/>
          <w:szCs w:val="32"/>
        </w:rPr>
        <w:t>台（套）。</w:t>
      </w:r>
    </w:p>
    <w:p w:rsidR="00A106A7" w:rsidRDefault="0081645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（四）政府采购支出情况说明</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年度本部门政府采购支出总额</w:t>
      </w:r>
      <w:r>
        <w:rPr>
          <w:rFonts w:ascii="Times New Roman" w:eastAsia="方正仿宋_GBK" w:hAnsi="Times New Roman" w:hint="default"/>
          <w:sz w:val="32"/>
          <w:szCs w:val="32"/>
        </w:rPr>
        <w:t>156.46</w:t>
      </w:r>
      <w:r>
        <w:rPr>
          <w:rFonts w:ascii="Times New Roman" w:eastAsia="方正仿宋_GBK" w:hAnsi="Times New Roman" w:hint="default"/>
          <w:sz w:val="32"/>
          <w:szCs w:val="32"/>
        </w:rPr>
        <w:t>万元，其中：政府采购货物支出</w:t>
      </w:r>
      <w:r>
        <w:rPr>
          <w:rFonts w:ascii="Times New Roman" w:eastAsia="方正仿宋_GBK" w:hAnsi="Times New Roman" w:hint="default"/>
          <w:sz w:val="32"/>
          <w:szCs w:val="32"/>
        </w:rPr>
        <w:t>4.66</w:t>
      </w:r>
      <w:r>
        <w:rPr>
          <w:rFonts w:ascii="Times New Roman" w:eastAsia="方正仿宋_GBK" w:hAnsi="Times New Roman" w:hint="default"/>
          <w:sz w:val="32"/>
          <w:szCs w:val="32"/>
        </w:rPr>
        <w:t>万元、政府采购工程支出</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万元、政府采购服务支出</w:t>
      </w:r>
      <w:r>
        <w:rPr>
          <w:rFonts w:ascii="Times New Roman" w:eastAsia="方正仿宋_GBK" w:hAnsi="Times New Roman" w:hint="default"/>
          <w:sz w:val="32"/>
          <w:szCs w:val="32"/>
        </w:rPr>
        <w:t>151.81</w:t>
      </w:r>
      <w:r>
        <w:rPr>
          <w:rFonts w:ascii="Times New Roman" w:eastAsia="方正仿宋_GBK" w:hAnsi="Times New Roman" w:hint="default"/>
          <w:sz w:val="32"/>
          <w:szCs w:val="32"/>
        </w:rPr>
        <w:t>万元。授予中小企业合同金额</w:t>
      </w:r>
      <w:r>
        <w:rPr>
          <w:rFonts w:ascii="Times New Roman" w:eastAsia="方正仿宋_GBK" w:hAnsi="Times New Roman" w:hint="default"/>
          <w:sz w:val="32"/>
          <w:szCs w:val="32"/>
        </w:rPr>
        <w:t>123.46</w:t>
      </w:r>
      <w:r>
        <w:rPr>
          <w:rFonts w:ascii="Times New Roman" w:eastAsia="方正仿宋_GBK" w:hAnsi="Times New Roman" w:hint="default"/>
          <w:sz w:val="32"/>
          <w:szCs w:val="32"/>
        </w:rPr>
        <w:t>万元，占政府采购支出总额的</w:t>
      </w:r>
      <w:r>
        <w:rPr>
          <w:rFonts w:ascii="Times New Roman" w:eastAsia="方正仿宋_GBK" w:hAnsi="Times New Roman" w:hint="default"/>
          <w:sz w:val="32"/>
          <w:szCs w:val="32"/>
        </w:rPr>
        <w:t>78.91%</w:t>
      </w:r>
      <w:r>
        <w:rPr>
          <w:rFonts w:ascii="Times New Roman" w:eastAsia="方正仿宋_GBK" w:hAnsi="Times New Roman" w:hint="default"/>
          <w:sz w:val="32"/>
          <w:szCs w:val="32"/>
        </w:rPr>
        <w:t>，其中：授予小微企业合同金额</w:t>
      </w:r>
      <w:r>
        <w:rPr>
          <w:rFonts w:ascii="Times New Roman" w:eastAsia="方正仿宋_GBK" w:hAnsi="Times New Roman" w:hint="default"/>
          <w:sz w:val="32"/>
          <w:szCs w:val="32"/>
        </w:rPr>
        <w:t>92.06</w:t>
      </w:r>
      <w:r>
        <w:rPr>
          <w:rFonts w:ascii="Times New Roman" w:eastAsia="方正仿宋_GBK" w:hAnsi="Times New Roman" w:hint="default"/>
          <w:sz w:val="32"/>
          <w:szCs w:val="32"/>
        </w:rPr>
        <w:t>万元，占政府采购支出总额的</w:t>
      </w:r>
      <w:r>
        <w:rPr>
          <w:rFonts w:ascii="Times New Roman" w:eastAsia="方正仿宋_GBK" w:hAnsi="Times New Roman" w:hint="default"/>
          <w:sz w:val="32"/>
          <w:szCs w:val="32"/>
        </w:rPr>
        <w:t>58.84 %</w:t>
      </w:r>
      <w:r>
        <w:rPr>
          <w:rFonts w:ascii="Times New Roman" w:eastAsia="方正仿宋_GBK" w:hAnsi="Times New Roman" w:hint="default"/>
          <w:sz w:val="32"/>
          <w:szCs w:val="32"/>
        </w:rPr>
        <w:t>。主要用于采购碎纸机、国产电脑、办公椅等办公设备及</w:t>
      </w:r>
      <w:r>
        <w:rPr>
          <w:rFonts w:ascii="Times New Roman" w:eastAsia="方正仿宋_GBK" w:hAnsi="Times New Roman" w:hint="default"/>
          <w:sz w:val="32"/>
          <w:szCs w:val="32"/>
        </w:rPr>
        <w:t>2024</w:t>
      </w:r>
      <w:r>
        <w:rPr>
          <w:rFonts w:ascii="Times New Roman" w:eastAsia="方正仿宋_GBK" w:hAnsi="Times New Roman" w:hint="default"/>
          <w:sz w:val="32"/>
          <w:szCs w:val="32"/>
        </w:rPr>
        <w:t>年日照</w:t>
      </w:r>
      <w:r>
        <w:rPr>
          <w:rFonts w:ascii="Times New Roman" w:eastAsia="微软雅黑" w:hAnsi="Times New Roman" w:hint="default"/>
          <w:sz w:val="32"/>
          <w:szCs w:val="32"/>
        </w:rPr>
        <w:t>▪</w:t>
      </w:r>
      <w:r>
        <w:rPr>
          <w:rFonts w:ascii="Times New Roman" w:eastAsia="方正仿宋_GBK" w:hAnsi="Times New Roman" w:hint="default"/>
          <w:sz w:val="32"/>
          <w:szCs w:val="32"/>
        </w:rPr>
        <w:t>黔江消费帮扶电商资源对接活动、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年绿色智能家电以旧换新补贴资金专项审计、第六届西洽会黔江区参展展位设计和搭建服务、达限纳</w:t>
      </w:r>
      <w:r>
        <w:rPr>
          <w:rFonts w:ascii="Times New Roman" w:eastAsia="方正仿宋_GBK" w:hAnsi="Times New Roman" w:hint="default"/>
          <w:sz w:val="32"/>
          <w:szCs w:val="32"/>
        </w:rPr>
        <w:lastRenderedPageBreak/>
        <w:t>统工作宣传及培训三方服务项目、武陵山直播基地电商对接大会活动服务、黔江鸡杂主题短剧创作等。</w:t>
      </w:r>
    </w:p>
    <w:p w:rsidR="00A106A7" w:rsidRDefault="0081645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五、预算绩效管理情况说明</w:t>
      </w:r>
    </w:p>
    <w:p w:rsidR="00A106A7" w:rsidRDefault="0081645C">
      <w:pPr>
        <w:spacing w:line="579" w:lineRule="exact"/>
        <w:ind w:firstLineChars="200" w:firstLine="640"/>
        <w:jc w:val="both"/>
        <w:rPr>
          <w:rStyle w:val="a7"/>
          <w:rFonts w:ascii="Times New Roman" w:eastAsia="方正黑体_GBK" w:hAnsi="Times New Roman" w:hint="default"/>
          <w:b w:val="0"/>
          <w:sz w:val="32"/>
          <w:szCs w:val="32"/>
          <w:shd w:val="clear" w:color="auto" w:fill="FFFFFF"/>
        </w:rPr>
      </w:pPr>
      <w:r>
        <w:rPr>
          <w:rFonts w:ascii="Times New Roman" w:eastAsia="方正仿宋_GBK" w:hAnsi="Times New Roman" w:hint="default"/>
          <w:sz w:val="32"/>
          <w:szCs w:val="32"/>
        </w:rPr>
        <w:t>根据预算绩效管理要求，我单位对部门</w:t>
      </w:r>
      <w:r>
        <w:rPr>
          <w:rFonts w:ascii="Times New Roman" w:eastAsia="方正仿宋_GBK" w:hAnsi="Times New Roman" w:hint="default"/>
          <w:sz w:val="32"/>
          <w:szCs w:val="32"/>
        </w:rPr>
        <w:t>21</w:t>
      </w:r>
      <w:r>
        <w:rPr>
          <w:rFonts w:ascii="Times New Roman" w:eastAsia="方正仿宋_GBK" w:hAnsi="Times New Roman" w:hint="default"/>
          <w:sz w:val="32"/>
          <w:szCs w:val="32"/>
        </w:rPr>
        <w:t>个二级项目开展了绩效自评，涉及财政拨款项目支出资金</w:t>
      </w:r>
      <w:r>
        <w:rPr>
          <w:rFonts w:ascii="Times New Roman" w:eastAsia="方正仿宋_GBK" w:hAnsi="Times New Roman" w:hint="default"/>
          <w:sz w:val="32"/>
          <w:szCs w:val="32"/>
        </w:rPr>
        <w:t>2557.96</w:t>
      </w:r>
      <w:r>
        <w:rPr>
          <w:rFonts w:ascii="Times New Roman" w:eastAsia="方正仿宋_GBK" w:hAnsi="Times New Roman" w:hint="default"/>
          <w:sz w:val="32"/>
          <w:szCs w:val="32"/>
        </w:rPr>
        <w:t>万元。</w:t>
      </w:r>
    </w:p>
    <w:p w:rsidR="00A106A7" w:rsidRDefault="0081645C">
      <w:pPr>
        <w:spacing w:afterLines="50" w:after="163" w:line="579" w:lineRule="exact"/>
        <w:jc w:val="center"/>
        <w:rPr>
          <w:rStyle w:val="a7"/>
          <w:rFonts w:ascii="方正小标宋_GBK" w:eastAsia="方正小标宋_GBK" w:hAnsi="方正小标宋_GBK" w:cs="方正小标宋_GBK" w:hint="default"/>
          <w:b w:val="0"/>
          <w:sz w:val="32"/>
          <w:szCs w:val="32"/>
          <w:shd w:val="clear" w:color="auto" w:fill="FFFFFF"/>
        </w:rPr>
      </w:pPr>
      <w:r>
        <w:rPr>
          <w:rStyle w:val="a7"/>
          <w:rFonts w:ascii="方正小标宋_GBK" w:eastAsia="方正小标宋_GBK" w:hAnsi="方正小标宋_GBK" w:cs="方正小标宋_GBK"/>
          <w:b w:val="0"/>
          <w:sz w:val="32"/>
          <w:szCs w:val="32"/>
          <w:shd w:val="clear" w:color="auto" w:fill="FFFFFF"/>
        </w:rPr>
        <w:t>2024年度项目支出绩效自评情况表（二级项目）</w:t>
      </w:r>
    </w:p>
    <w:tbl>
      <w:tblPr>
        <w:tblStyle w:val="a6"/>
        <w:tblW w:w="8931" w:type="dxa"/>
        <w:tblInd w:w="-176" w:type="dxa"/>
        <w:tblLook w:val="04A0" w:firstRow="1" w:lastRow="0" w:firstColumn="1" w:lastColumn="0" w:noHBand="0" w:noVBand="1"/>
      </w:tblPr>
      <w:tblGrid>
        <w:gridCol w:w="603"/>
        <w:gridCol w:w="1151"/>
        <w:gridCol w:w="1932"/>
        <w:gridCol w:w="709"/>
        <w:gridCol w:w="567"/>
        <w:gridCol w:w="709"/>
        <w:gridCol w:w="709"/>
        <w:gridCol w:w="708"/>
        <w:gridCol w:w="707"/>
        <w:gridCol w:w="427"/>
        <w:gridCol w:w="709"/>
      </w:tblGrid>
      <w:tr w:rsidR="00A106A7">
        <w:trPr>
          <w:trHeight w:val="897"/>
        </w:trPr>
        <w:tc>
          <w:tcPr>
            <w:tcW w:w="603"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序号</w:t>
            </w:r>
          </w:p>
        </w:tc>
        <w:tc>
          <w:tcPr>
            <w:tcW w:w="1151"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项目名称</w:t>
            </w:r>
          </w:p>
        </w:tc>
        <w:tc>
          <w:tcPr>
            <w:tcW w:w="1932"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指标名称</w:t>
            </w:r>
          </w:p>
        </w:tc>
        <w:tc>
          <w:tcPr>
            <w:tcW w:w="709"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指标性质</w:t>
            </w:r>
          </w:p>
        </w:tc>
        <w:tc>
          <w:tcPr>
            <w:tcW w:w="567"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指标值</w:t>
            </w:r>
          </w:p>
        </w:tc>
        <w:tc>
          <w:tcPr>
            <w:tcW w:w="709"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计量单位</w:t>
            </w:r>
          </w:p>
        </w:tc>
        <w:tc>
          <w:tcPr>
            <w:tcW w:w="709"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指标权重</w:t>
            </w:r>
          </w:p>
        </w:tc>
        <w:tc>
          <w:tcPr>
            <w:tcW w:w="708"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全年完成值</w:t>
            </w:r>
          </w:p>
        </w:tc>
        <w:tc>
          <w:tcPr>
            <w:tcW w:w="707"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指标得分</w:t>
            </w:r>
          </w:p>
        </w:tc>
        <w:tc>
          <w:tcPr>
            <w:tcW w:w="427"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说明</w:t>
            </w:r>
          </w:p>
        </w:tc>
        <w:tc>
          <w:tcPr>
            <w:tcW w:w="709" w:type="dxa"/>
            <w:vAlign w:val="center"/>
          </w:tcPr>
          <w:p w:rsidR="00A106A7" w:rsidRDefault="0081645C">
            <w:pPr>
              <w:snapToGrid w:val="0"/>
              <w:spacing w:line="240" w:lineRule="exact"/>
              <w:jc w:val="center"/>
              <w:rPr>
                <w:rStyle w:val="a7"/>
                <w:rFonts w:ascii="方正黑体_GBK" w:eastAsia="方正黑体_GBK" w:hAnsi="方正黑体_GBK" w:cs="方正黑体_GBK" w:hint="default"/>
                <w:b w:val="0"/>
                <w:bCs/>
                <w:sz w:val="21"/>
                <w:szCs w:val="21"/>
                <w:shd w:val="clear" w:color="auto" w:fill="FFFFFF"/>
              </w:rPr>
            </w:pPr>
            <w:r>
              <w:rPr>
                <w:rStyle w:val="a7"/>
                <w:rFonts w:ascii="方正黑体_GBK" w:eastAsia="方正黑体_GBK" w:hAnsi="方正黑体_GBK" w:cs="方正黑体_GBK"/>
                <w:b w:val="0"/>
                <w:bCs/>
                <w:sz w:val="21"/>
                <w:szCs w:val="21"/>
                <w:shd w:val="clear" w:color="auto" w:fill="FFFFFF"/>
              </w:rPr>
              <w:t>自评得分</w:t>
            </w:r>
          </w:p>
        </w:tc>
      </w:tr>
      <w:tr w:rsidR="00A106A7">
        <w:trPr>
          <w:trHeight w:val="385"/>
        </w:trPr>
        <w:tc>
          <w:tcPr>
            <w:tcW w:w="603" w:type="dxa"/>
            <w:vMerge w:val="restart"/>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w:t>
            </w:r>
          </w:p>
        </w:tc>
        <w:tc>
          <w:tcPr>
            <w:tcW w:w="1151" w:type="dxa"/>
            <w:vMerge w:val="restart"/>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提前下达</w:t>
            </w:r>
            <w:r>
              <w:rPr>
                <w:rStyle w:val="a7"/>
                <w:rFonts w:ascii="Times New Roman" w:eastAsia="方正仿宋_GBK" w:hAnsi="Times New Roman" w:hint="default"/>
                <w:b w:val="0"/>
                <w:sz w:val="21"/>
                <w:szCs w:val="21"/>
                <w:shd w:val="clear" w:color="auto" w:fill="FFFFFF"/>
              </w:rPr>
              <w:t>2024</w:t>
            </w:r>
            <w:r>
              <w:rPr>
                <w:rStyle w:val="a7"/>
                <w:rFonts w:ascii="Times New Roman" w:eastAsia="方正仿宋_GBK" w:hAnsi="Times New Roman" w:hint="default"/>
                <w:b w:val="0"/>
                <w:sz w:val="21"/>
                <w:szCs w:val="21"/>
                <w:shd w:val="clear" w:color="auto" w:fill="FFFFFF"/>
              </w:rPr>
              <w:t>年中央服务业发展资金</w:t>
            </w: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年度预算执行率</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681</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万元</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434</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6.37</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6.37</w:t>
            </w:r>
          </w:p>
        </w:tc>
      </w:tr>
      <w:tr w:rsidR="00A106A7">
        <w:trPr>
          <w:trHeight w:val="647"/>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Fonts w:ascii="Times New Roman" w:eastAsia="方正仿宋_GBK" w:hAnsi="Times New Roman" w:hint="default"/>
                <w:sz w:val="21"/>
                <w:szCs w:val="21"/>
              </w:rPr>
              <w:t>生活必需品企业家数</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家</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13</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r>
      <w:tr w:rsidR="00A106A7">
        <w:trPr>
          <w:trHeight w:val="1000"/>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Fonts w:ascii="Times New Roman" w:eastAsia="方正仿宋_GBK" w:hAnsi="Times New Roman" w:hint="default"/>
                <w:sz w:val="21"/>
                <w:szCs w:val="21"/>
              </w:rPr>
              <w:t>增强型及以上城区综合商贸服务中心数</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个</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r>
      <w:tr w:rsidR="00A106A7">
        <w:trPr>
          <w:trHeight w:val="405"/>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资金使用合规性</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100</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100</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15</w:t>
            </w:r>
          </w:p>
        </w:tc>
      </w:tr>
      <w:tr w:rsidR="00A106A7">
        <w:trPr>
          <w:trHeight w:val="632"/>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拥有村级综合便民商店的行政村占比</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18</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709" w:type="dxa"/>
            <w:vAlign w:val="center"/>
          </w:tcPr>
          <w:p w:rsidR="00A106A7" w:rsidRDefault="00CF1A2A">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18</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r>
      <w:tr w:rsidR="00A106A7">
        <w:trPr>
          <w:trHeight w:val="620"/>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增强型及以上乡镇商贸中心占比</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40</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40</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r>
      <w:tr w:rsidR="00A106A7">
        <w:trPr>
          <w:trHeight w:val="620"/>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生活必需品供应情况</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定性</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充足</w:t>
            </w:r>
          </w:p>
        </w:tc>
        <w:tc>
          <w:tcPr>
            <w:tcW w:w="709"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20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b w:val="0"/>
                <w:sz w:val="21"/>
                <w:szCs w:val="21"/>
                <w:shd w:val="clear" w:color="auto" w:fill="FFFFFF"/>
              </w:rPr>
              <w:t>全部</w:t>
            </w:r>
            <w:r>
              <w:rPr>
                <w:rStyle w:val="a7"/>
                <w:rFonts w:ascii="Times New Roman" w:eastAsia="方正仿宋_GBK" w:hAnsi="Times New Roman" w:hint="default"/>
                <w:b w:val="0"/>
                <w:sz w:val="21"/>
                <w:szCs w:val="21"/>
                <w:shd w:val="clear" w:color="auto" w:fill="FFFFFF"/>
              </w:rPr>
              <w:t>完成</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20</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20</w:t>
            </w:r>
          </w:p>
        </w:tc>
      </w:tr>
      <w:tr w:rsidR="00A106A7">
        <w:trPr>
          <w:trHeight w:val="490"/>
        </w:trPr>
        <w:tc>
          <w:tcPr>
            <w:tcW w:w="603"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151" w:type="dxa"/>
            <w:vMerge/>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1932"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服务对象满意度</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56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95</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w:t>
            </w: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708"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95</w:t>
            </w:r>
          </w:p>
        </w:tc>
        <w:tc>
          <w:tcPr>
            <w:tcW w:w="707"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c>
          <w:tcPr>
            <w:tcW w:w="427" w:type="dxa"/>
            <w:vAlign w:val="center"/>
          </w:tcPr>
          <w:p w:rsidR="00A106A7" w:rsidRDefault="00A106A7">
            <w:pPr>
              <w:snapToGrid w:val="0"/>
              <w:spacing w:line="240" w:lineRule="exact"/>
              <w:jc w:val="center"/>
              <w:rPr>
                <w:rStyle w:val="a7"/>
                <w:rFonts w:ascii="Times New Roman" w:eastAsia="方正仿宋_GBK" w:hAnsi="Times New Roman" w:hint="default"/>
                <w:b w:val="0"/>
                <w:sz w:val="21"/>
                <w:szCs w:val="21"/>
                <w:shd w:val="clear" w:color="auto" w:fill="FFFFFF"/>
              </w:rPr>
            </w:pPr>
          </w:p>
        </w:tc>
        <w:tc>
          <w:tcPr>
            <w:tcW w:w="709" w:type="dxa"/>
            <w:vAlign w:val="center"/>
          </w:tcPr>
          <w:p w:rsidR="00A106A7" w:rsidRDefault="0081645C">
            <w:pPr>
              <w:snapToGrid w:val="0"/>
              <w:spacing w:line="240" w:lineRule="exact"/>
              <w:jc w:val="center"/>
              <w:rPr>
                <w:rStyle w:val="a7"/>
                <w:rFonts w:ascii="Times New Roman" w:eastAsia="方正仿宋_GBK" w:hAnsi="Times New Roman" w:hint="default"/>
                <w:b w:val="0"/>
                <w:sz w:val="21"/>
                <w:szCs w:val="21"/>
                <w:shd w:val="clear" w:color="auto" w:fill="FFFFFF"/>
              </w:rPr>
            </w:pPr>
            <w:r>
              <w:rPr>
                <w:rStyle w:val="a7"/>
                <w:rFonts w:ascii="Times New Roman" w:eastAsia="方正仿宋_GBK" w:hAnsi="Times New Roman" w:hint="default"/>
                <w:b w:val="0"/>
                <w:sz w:val="21"/>
                <w:szCs w:val="21"/>
                <w:shd w:val="clear" w:color="auto" w:fill="FFFFFF"/>
              </w:rPr>
              <w:t>10</w:t>
            </w:r>
          </w:p>
        </w:tc>
      </w:tr>
    </w:tbl>
    <w:p w:rsidR="00A106A7" w:rsidRDefault="0081645C">
      <w:pPr>
        <w:spacing w:beforeLines="50" w:before="163"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六、专业名词解释</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（一）财政拨款收入：</w:t>
      </w:r>
      <w:r>
        <w:rPr>
          <w:rFonts w:ascii="Times New Roman" w:eastAsia="方正仿宋_GBK" w:hAnsi="Times New Roman" w:hint="default"/>
          <w:sz w:val="32"/>
          <w:szCs w:val="32"/>
        </w:rPr>
        <w:t>指本年度从本级财政部门取得的财政拨款，包括一般公共预算财政拨款和政府性基金预算财政拨款。</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（二）年初结转和结余：</w:t>
      </w:r>
      <w:r>
        <w:rPr>
          <w:rFonts w:ascii="Times New Roman" w:eastAsia="方正仿宋_GBK" w:hAnsi="Times New Roman" w:hint="default"/>
          <w:sz w:val="32"/>
          <w:szCs w:val="32"/>
        </w:rPr>
        <w:t>指单位上年结转本年使用的基本支出结转、项目支出结转和结余、经营结余。</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lastRenderedPageBreak/>
        <w:t>（三）年末结转和结余：</w:t>
      </w:r>
      <w:r>
        <w:rPr>
          <w:rFonts w:ascii="Times New Roman" w:eastAsia="方正仿宋_GBK" w:hAnsi="Times New Roman" w:hint="default"/>
          <w:sz w:val="32"/>
          <w:szCs w:val="32"/>
        </w:rPr>
        <w:t>指单位结转下年的基本支出结转、项目支出结转和结余、经营结余。</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（四）基本支出：</w:t>
      </w:r>
      <w:r>
        <w:rPr>
          <w:rFonts w:ascii="Times New Roman" w:eastAsia="方正仿宋_GBK" w:hAnsi="Times New Roman" w:hint="default"/>
          <w:sz w:val="32"/>
          <w:szCs w:val="32"/>
        </w:rPr>
        <w:t>指为保障机构正常运转、完成日常工作任务而发生的人员经费和公用经费。其中：人员经费指政府收支分类经济科目中的</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；公用经费指政府收支分类经济科目中除</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外的其他支出。</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（五）项目支出：</w:t>
      </w:r>
      <w:r>
        <w:rPr>
          <w:rFonts w:ascii="Times New Roman" w:eastAsia="方正仿宋_GBK" w:hAnsi="Times New Roman" w:hint="default"/>
          <w:sz w:val="32"/>
          <w:szCs w:val="32"/>
        </w:rPr>
        <w:t>指在基本支出之外为完成特定行政任务和事业发展目标所发生的支出。</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（六）</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w:t>
      </w:r>
      <w:r>
        <w:rPr>
          <w:rFonts w:ascii="Times New Roman" w:eastAsia="方正仿宋_GBK" w:hAnsi="Times New Roman" w:hint="default"/>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（七）机关运行经费：</w:t>
      </w:r>
      <w:r>
        <w:rPr>
          <w:rFonts w:ascii="Times New Roman" w:eastAsia="方正仿宋_GBK" w:hAnsi="Times New Roman" w:hint="default"/>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lastRenderedPageBreak/>
        <w:t>（八）工资福利支出（支出经济分类科目类级）：</w:t>
      </w:r>
      <w:r>
        <w:rPr>
          <w:rFonts w:ascii="Times New Roman" w:eastAsia="方正仿宋_GBK" w:hAnsi="Times New Roman" w:hint="default"/>
          <w:sz w:val="32"/>
          <w:szCs w:val="32"/>
        </w:rPr>
        <w:t>反映单位开支的在职职工和编制外长期聘用人员的各类劳动报酬，以及为上述人员缴纳的各项社会保险费等。</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（九）商品和服务支出（支出经济分类科目类级）：</w:t>
      </w:r>
      <w:r>
        <w:rPr>
          <w:rFonts w:ascii="Times New Roman" w:eastAsia="方正仿宋_GBK" w:hAnsi="Times New Roman" w:hint="default"/>
          <w:sz w:val="32"/>
          <w:szCs w:val="32"/>
        </w:rPr>
        <w:t>反映单位购买商品和服务的支出（不包括用于购置固定资产的支出、战略性和应急储备支出）。</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（十）对个人和家庭的补助（支出经济分类科目类级）：</w:t>
      </w:r>
      <w:r>
        <w:rPr>
          <w:rFonts w:ascii="Times New Roman" w:eastAsia="方正仿宋_GBK" w:hAnsi="Times New Roman" w:hint="default"/>
          <w:sz w:val="32"/>
          <w:szCs w:val="32"/>
        </w:rPr>
        <w:t>反映用于对个人和家庭的补助支出。</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（十一）其他资本性支出（支出经济分类科目类级）：</w:t>
      </w:r>
      <w:r>
        <w:rPr>
          <w:rFonts w:ascii="Times New Roman" w:eastAsia="方正仿宋_GBK" w:hAnsi="Times New Roman" w:hint="default"/>
          <w:sz w:val="32"/>
          <w:szCs w:val="32"/>
        </w:rPr>
        <w:t>反映非各级发展与改革部门集中安排的用于购置固定资产、战略性和应急性储备、土地和无形资产，以及构建基础设施、大型修缮和财政支持企业更新改造所发生的支出。</w:t>
      </w:r>
    </w:p>
    <w:p w:rsidR="00A106A7" w:rsidRDefault="0081645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七、决算公开联系方式及信息反馈渠道</w:t>
      </w:r>
    </w:p>
    <w:p w:rsidR="00A106A7" w:rsidRDefault="0081645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本单位决算公开信息反馈和联系方式：</w:t>
      </w:r>
      <w:r>
        <w:rPr>
          <w:rFonts w:ascii="Times New Roman" w:eastAsia="方正仿宋_GBK" w:hAnsi="Times New Roman" w:hint="default"/>
          <w:sz w:val="32"/>
          <w:szCs w:val="32"/>
        </w:rPr>
        <w:t xml:space="preserve"> 023-79222688</w:t>
      </w:r>
      <w:r>
        <w:rPr>
          <w:rFonts w:ascii="Times New Roman" w:eastAsia="方正仿宋_GBK" w:hAnsi="Times New Roman" w:hint="default"/>
          <w:sz w:val="32"/>
          <w:szCs w:val="32"/>
        </w:rPr>
        <w:t>。</w:t>
      </w:r>
    </w:p>
    <w:p w:rsidR="00A106A7" w:rsidRDefault="00A106A7">
      <w:pPr>
        <w:pStyle w:val="a5"/>
        <w:shd w:val="clear" w:color="auto" w:fill="FFFFFF"/>
        <w:rPr>
          <w:rStyle w:val="a7"/>
          <w:rFonts w:ascii="Times New Roman" w:eastAsia="方正仿宋_GBK" w:hAnsi="Times New Roman" w:hint="default"/>
          <w:sz w:val="32"/>
          <w:szCs w:val="32"/>
          <w:shd w:val="clear" w:color="auto" w:fill="FFFF00"/>
        </w:rPr>
      </w:pPr>
    </w:p>
    <w:p w:rsidR="00A106A7" w:rsidRDefault="00A106A7">
      <w:pPr>
        <w:pStyle w:val="1"/>
        <w:autoSpaceDE w:val="0"/>
        <w:ind w:firstLineChars="0" w:firstLine="0"/>
        <w:rPr>
          <w:rStyle w:val="a7"/>
          <w:rFonts w:ascii="Times New Roman" w:eastAsia="方正仿宋_GBK" w:hAnsi="Times New Roman"/>
          <w:sz w:val="32"/>
          <w:szCs w:val="32"/>
          <w:shd w:val="clear" w:color="auto" w:fill="FFFF00"/>
        </w:rPr>
        <w:sectPr w:rsidR="00A106A7">
          <w:footerReference w:type="default" r:id="rId7"/>
          <w:pgSz w:w="11915" w:h="16840"/>
          <w:pgMar w:top="2098" w:right="1474" w:bottom="1984" w:left="1587" w:header="851" w:footer="992" w:gutter="0"/>
          <w:pgNumType w:fmt="numberInDash"/>
          <w:cols w:space="0"/>
          <w:docGrid w:type="lines" w:linePitch="327"/>
        </w:sectPr>
      </w:pPr>
    </w:p>
    <w:p w:rsidR="00A106A7" w:rsidRDefault="00A106A7">
      <w:pPr>
        <w:rPr>
          <w:rFonts w:ascii="Times New Roman" w:hAnsi="Times New Roman" w:hint="default"/>
          <w:sz w:val="21"/>
          <w:szCs w:val="21"/>
        </w:rPr>
      </w:pPr>
    </w:p>
    <w:tbl>
      <w:tblPr>
        <w:tblW w:w="22292" w:type="dxa"/>
        <w:tblLayout w:type="fixed"/>
        <w:tblCellMar>
          <w:left w:w="0" w:type="dxa"/>
          <w:right w:w="0" w:type="dxa"/>
        </w:tblCellMar>
        <w:tblLook w:val="04A0" w:firstRow="1" w:lastRow="0" w:firstColumn="1" w:lastColumn="0" w:noHBand="0" w:noVBand="1"/>
      </w:tblPr>
      <w:tblGrid>
        <w:gridCol w:w="6581"/>
        <w:gridCol w:w="4358"/>
        <w:gridCol w:w="7536"/>
        <w:gridCol w:w="3817"/>
      </w:tblGrid>
      <w:tr w:rsidR="00A106A7">
        <w:trPr>
          <w:trHeight w:val="565"/>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收入支出决算总表</w:t>
            </w:r>
          </w:p>
        </w:tc>
      </w:tr>
      <w:tr w:rsidR="00A106A7">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01</w:t>
            </w:r>
            <w:r>
              <w:rPr>
                <w:rFonts w:ascii="Times New Roman" w:hAnsi="Times New Roman" w:hint="default"/>
                <w:color w:val="000000"/>
                <w:lang w:bidi="ar"/>
              </w:rPr>
              <w:t>表</w:t>
            </w:r>
          </w:p>
        </w:tc>
      </w:tr>
      <w:tr w:rsidR="00A106A7">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A106A7" w:rsidRDefault="0081645C">
            <w:pPr>
              <w:textAlignment w:val="bottom"/>
              <w:rPr>
                <w:rFonts w:ascii="Times New Roman" w:hAnsi="Times New Roman" w:hint="default"/>
                <w:color w:val="000000"/>
              </w:rPr>
            </w:pPr>
            <w:r>
              <w:rPr>
                <w:rFonts w:ascii="Times New Roman" w:hAnsi="Times New Roman" w:hint="default"/>
              </w:rPr>
              <w:t>公开单位：重庆市黔江区商务委员会（本级）</w:t>
            </w:r>
          </w:p>
        </w:tc>
        <w:tc>
          <w:tcPr>
            <w:tcW w:w="4358" w:type="dxa"/>
            <w:tcBorders>
              <w:top w:val="nil"/>
              <w:left w:val="nil"/>
              <w:bottom w:val="nil"/>
              <w:right w:val="nil"/>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298"/>
        </w:trPr>
        <w:tc>
          <w:tcPr>
            <w:tcW w:w="10939"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收入</w:t>
            </w:r>
          </w:p>
        </w:tc>
        <w:tc>
          <w:tcPr>
            <w:tcW w:w="11353" w:type="dxa"/>
            <w:gridSpan w:val="2"/>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支出</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4358"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rPr>
              <w:t>功能分类科目</w:t>
            </w:r>
          </w:p>
        </w:tc>
        <w:tc>
          <w:tcPr>
            <w:tcW w:w="3817"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519.01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四、上级补助收入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五、事业收入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六、经营收入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七、附属单位上缴收入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八、其他收入</w:t>
            </w:r>
          </w:p>
        </w:tc>
        <w:tc>
          <w:tcPr>
            <w:tcW w:w="4358" w:type="dxa"/>
            <w:tcBorders>
              <w:top w:val="nil"/>
              <w:left w:val="nil"/>
              <w:bottom w:val="nil"/>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456.28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75.74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45.53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使用非财政拨款结余和专用结余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结余分配</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年初结转和结余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年末结转和结余</w:t>
            </w:r>
          </w:p>
        </w:tc>
        <w:tc>
          <w:tcPr>
            <w:tcW w:w="381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07"/>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7536" w:type="dxa"/>
            <w:tcBorders>
              <w:top w:val="nil"/>
              <w:left w:val="nil"/>
              <w:bottom w:val="single" w:sz="4" w:space="0" w:color="000000"/>
              <w:right w:val="single" w:sz="4" w:space="0" w:color="auto"/>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381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3,603.01 </w:t>
            </w:r>
          </w:p>
        </w:tc>
      </w:tr>
    </w:tbl>
    <w:p w:rsidR="00A106A7" w:rsidRDefault="0081645C">
      <w:pPr>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rPr>
          <w:rFonts w:ascii="Times New Roman" w:hAnsi="Times New Roman" w:hint="default"/>
          <w:sz w:val="21"/>
          <w:szCs w:val="21"/>
          <w:lang w:bidi="ar"/>
        </w:rPr>
      </w:pPr>
      <w:r>
        <w:rPr>
          <w:rFonts w:ascii="Times New Roman" w:hAnsi="Times New Roman" w:hint="default"/>
          <w:sz w:val="21"/>
          <w:szCs w:val="21"/>
          <w:lang w:bidi="ar"/>
        </w:rPr>
        <w:br w:type="page"/>
      </w:r>
    </w:p>
    <w:p w:rsidR="00A106A7" w:rsidRDefault="00A106A7">
      <w:pPr>
        <w:rPr>
          <w:rFonts w:ascii="Times New Roman" w:hAnsi="Times New Roman" w:hint="default"/>
          <w:sz w:val="21"/>
          <w:szCs w:val="21"/>
          <w:lang w:bidi="ar"/>
        </w:rPr>
      </w:pPr>
    </w:p>
    <w:tbl>
      <w:tblPr>
        <w:tblW w:w="22220" w:type="dxa"/>
        <w:tblLayout w:type="fixed"/>
        <w:tblCellMar>
          <w:left w:w="0" w:type="dxa"/>
          <w:right w:w="0" w:type="dxa"/>
        </w:tblCellMar>
        <w:tblLook w:val="04A0" w:firstRow="1" w:lastRow="0" w:firstColumn="1" w:lastColumn="0" w:noHBand="0" w:noVBand="1"/>
      </w:tblPr>
      <w:tblGrid>
        <w:gridCol w:w="1941"/>
        <w:gridCol w:w="3317"/>
        <w:gridCol w:w="2412"/>
        <w:gridCol w:w="2399"/>
        <w:gridCol w:w="1963"/>
        <w:gridCol w:w="1963"/>
        <w:gridCol w:w="1963"/>
        <w:gridCol w:w="1963"/>
        <w:gridCol w:w="1963"/>
        <w:gridCol w:w="2336"/>
      </w:tblGrid>
      <w:tr w:rsidR="00A106A7">
        <w:trPr>
          <w:trHeight w:val="641"/>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收入决算表</w:t>
            </w:r>
          </w:p>
        </w:tc>
      </w:tr>
      <w:tr w:rsidR="00A106A7">
        <w:trPr>
          <w:trHeight w:val="328"/>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2"/>
                <w:szCs w:val="22"/>
              </w:rPr>
            </w:pPr>
            <w:r>
              <w:rPr>
                <w:rFonts w:ascii="Times New Roman" w:hAnsi="Times New Roman" w:hint="default"/>
              </w:rPr>
              <w:t>公开单位：重庆市黔江区商务委员会（本级）</w:t>
            </w:r>
          </w:p>
        </w:tc>
        <w:tc>
          <w:tcPr>
            <w:tcW w:w="241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02</w:t>
            </w:r>
            <w:r>
              <w:rPr>
                <w:rFonts w:ascii="Times New Roman" w:hAnsi="Times New Roman" w:hint="default"/>
                <w:color w:val="000000"/>
                <w:lang w:bidi="ar"/>
              </w:rPr>
              <w:t>表</w:t>
            </w:r>
          </w:p>
        </w:tc>
      </w:tr>
      <w:tr w:rsidR="00A106A7">
        <w:trPr>
          <w:trHeight w:val="328"/>
        </w:trPr>
        <w:tc>
          <w:tcPr>
            <w:tcW w:w="5258"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431"/>
        </w:trPr>
        <w:tc>
          <w:tcPr>
            <w:tcW w:w="5258" w:type="dxa"/>
            <w:gridSpan w:val="2"/>
            <w:tcBorders>
              <w:top w:val="single" w:sz="4" w:space="0" w:color="000000"/>
              <w:left w:val="single" w:sz="4" w:space="0" w:color="000000"/>
              <w:bottom w:val="single" w:sz="4" w:space="0" w:color="000000"/>
              <w:right w:val="nil"/>
            </w:tcBorders>
            <w:shd w:val="clear" w:color="auto" w:fill="D0CECE"/>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12"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39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财政拨款收入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上级补助收入</w:t>
            </w:r>
          </w:p>
        </w:tc>
        <w:tc>
          <w:tcPr>
            <w:tcW w:w="3926"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事业收入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附属单位上缴收入</w:t>
            </w:r>
          </w:p>
        </w:tc>
        <w:tc>
          <w:tcPr>
            <w:tcW w:w="233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其他收入</w:t>
            </w:r>
          </w:p>
        </w:tc>
      </w:tr>
      <w:tr w:rsidR="00A106A7">
        <w:trPr>
          <w:trHeight w:val="334"/>
        </w:trPr>
        <w:tc>
          <w:tcPr>
            <w:tcW w:w="1941"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317"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其中：教育收费</w:t>
            </w: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8"/>
        </w:trPr>
        <w:tc>
          <w:tcPr>
            <w:tcW w:w="5258"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3,603.01 </w:t>
            </w:r>
          </w:p>
        </w:tc>
        <w:tc>
          <w:tcPr>
            <w:tcW w:w="23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3,603.01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456.28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456.28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417.25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417.25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57.48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57.48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41.30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41.30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304.76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304.76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38.56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38.56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45.53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45.53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lastRenderedPageBreak/>
              <w:t>22205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A106A7" w:rsidRDefault="0081645C">
      <w:pPr>
        <w:ind w:left="630" w:hangingChars="300" w:hanging="630"/>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本表反映单位本年度取得的各项收入情况。</w:t>
      </w:r>
      <w:r>
        <w:rPr>
          <w:rFonts w:ascii="Times New Roman" w:hAnsi="Times New Roman" w:hint="default"/>
          <w:sz w:val="21"/>
          <w:szCs w:val="21"/>
          <w:lang w:bidi="ar"/>
        </w:rPr>
        <w:br/>
        <w:t>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lang w:bidi="ar"/>
        </w:rPr>
        <w:br/>
      </w:r>
    </w:p>
    <w:p w:rsidR="00A106A7" w:rsidRDefault="0081645C">
      <w:pPr>
        <w:rPr>
          <w:rFonts w:ascii="Times New Roman" w:hAnsi="Times New Roman" w:hint="default"/>
          <w:sz w:val="21"/>
          <w:szCs w:val="21"/>
          <w:lang w:bidi="ar"/>
        </w:rPr>
      </w:pPr>
      <w:r>
        <w:rPr>
          <w:rFonts w:ascii="Times New Roman" w:hAnsi="Times New Roman" w:hint="default"/>
          <w:sz w:val="21"/>
          <w:szCs w:val="21"/>
          <w:lang w:bidi="ar"/>
        </w:rPr>
        <w:br w:type="page"/>
      </w:r>
    </w:p>
    <w:p w:rsidR="00A106A7" w:rsidRDefault="00A106A7">
      <w:pPr>
        <w:ind w:left="630" w:hangingChars="300" w:hanging="630"/>
        <w:rPr>
          <w:rFonts w:ascii="Times New Roman" w:hAnsi="Times New Roman" w:hint="default"/>
          <w:sz w:val="21"/>
          <w:szCs w:val="21"/>
          <w:lang w:bidi="ar"/>
        </w:rPr>
      </w:pPr>
    </w:p>
    <w:tbl>
      <w:tblPr>
        <w:tblW w:w="22180" w:type="dxa"/>
        <w:tblLayout w:type="fixed"/>
        <w:tblCellMar>
          <w:left w:w="0" w:type="dxa"/>
          <w:right w:w="0" w:type="dxa"/>
        </w:tblCellMar>
        <w:tblLook w:val="04A0" w:firstRow="1" w:lastRow="0" w:firstColumn="1" w:lastColumn="0" w:noHBand="0" w:noVBand="1"/>
      </w:tblPr>
      <w:tblGrid>
        <w:gridCol w:w="2082"/>
        <w:gridCol w:w="3528"/>
        <w:gridCol w:w="2760"/>
        <w:gridCol w:w="2760"/>
        <w:gridCol w:w="2760"/>
        <w:gridCol w:w="2760"/>
        <w:gridCol w:w="2760"/>
        <w:gridCol w:w="2770"/>
      </w:tblGrid>
      <w:tr w:rsidR="00A106A7">
        <w:trPr>
          <w:trHeight w:val="654"/>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支出决算表</w:t>
            </w:r>
          </w:p>
        </w:tc>
      </w:tr>
      <w:tr w:rsidR="00A106A7">
        <w:trPr>
          <w:trHeight w:val="342"/>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r>
              <w:rPr>
                <w:rFonts w:ascii="Times New Roman" w:hAnsi="Times New Roman" w:hint="default"/>
                <w:color w:val="000000"/>
              </w:rPr>
              <w:t xml:space="preserve"> </w:t>
            </w: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03</w:t>
            </w:r>
            <w:r>
              <w:rPr>
                <w:rFonts w:ascii="Times New Roman" w:hAnsi="Times New Roman" w:hint="default"/>
                <w:color w:val="000000"/>
                <w:lang w:bidi="ar"/>
              </w:rPr>
              <w:t>表</w:t>
            </w:r>
          </w:p>
        </w:tc>
      </w:tr>
      <w:tr w:rsidR="00A106A7">
        <w:trPr>
          <w:trHeight w:val="342"/>
        </w:trPr>
        <w:tc>
          <w:tcPr>
            <w:tcW w:w="5610"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上缴上级支出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经营支出</w:t>
            </w:r>
          </w:p>
        </w:tc>
        <w:tc>
          <w:tcPr>
            <w:tcW w:w="277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对附属单位补助支出</w:t>
            </w:r>
          </w:p>
        </w:tc>
      </w:tr>
      <w:tr w:rsidR="00A106A7">
        <w:trPr>
          <w:trHeight w:val="338"/>
        </w:trPr>
        <w:tc>
          <w:tcPr>
            <w:tcW w:w="2082"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528"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3,603.01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1,045.04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2,557.96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519.01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456.28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444.77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417.25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417.25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57.48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57.48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41.30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41.30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304.76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304.76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75.74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38.56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38.56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lastRenderedPageBreak/>
              <w:t>2210201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45.53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A106A7">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A106A7" w:rsidRDefault="0081645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本表反映单位本年度取得的各项收入情况。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rPr>
          <w:rFonts w:ascii="Times New Roman" w:hAnsi="Times New Roman" w:hint="default"/>
          <w:sz w:val="21"/>
          <w:szCs w:val="21"/>
          <w:lang w:bidi="ar"/>
        </w:rPr>
      </w:pPr>
      <w:r>
        <w:rPr>
          <w:rFonts w:ascii="Times New Roman" w:hAnsi="Times New Roman" w:hint="default"/>
          <w:sz w:val="21"/>
          <w:szCs w:val="21"/>
          <w:lang w:bidi="ar"/>
        </w:rPr>
        <w:br w:type="page"/>
      </w:r>
    </w:p>
    <w:p w:rsidR="00A106A7" w:rsidRDefault="00A106A7">
      <w:pPr>
        <w:rPr>
          <w:rFonts w:ascii="Times New Roman" w:hAnsi="Times New Roman" w:hint="default"/>
          <w:sz w:val="21"/>
          <w:szCs w:val="21"/>
          <w:lang w:bidi="ar"/>
        </w:rPr>
      </w:pPr>
    </w:p>
    <w:tbl>
      <w:tblPr>
        <w:tblW w:w="22360" w:type="dxa"/>
        <w:tblLayout w:type="fixed"/>
        <w:tblCellMar>
          <w:left w:w="0" w:type="dxa"/>
          <w:right w:w="0" w:type="dxa"/>
        </w:tblCellMar>
        <w:tblLook w:val="04A0" w:firstRow="1" w:lastRow="0" w:firstColumn="1" w:lastColumn="0" w:noHBand="0" w:noVBand="1"/>
      </w:tblPr>
      <w:tblGrid>
        <w:gridCol w:w="4068"/>
        <w:gridCol w:w="2674"/>
        <w:gridCol w:w="3752"/>
        <w:gridCol w:w="2952"/>
        <w:gridCol w:w="2952"/>
        <w:gridCol w:w="2952"/>
        <w:gridCol w:w="3010"/>
      </w:tblGrid>
      <w:tr w:rsidR="00A106A7">
        <w:trPr>
          <w:trHeight w:val="90"/>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财政拨款收入支出决算总表</w:t>
            </w:r>
          </w:p>
        </w:tc>
      </w:tr>
      <w:tr w:rsidR="00A106A7">
        <w:trPr>
          <w:trHeight w:val="90"/>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2"/>
                <w:szCs w:val="22"/>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p>
        </w:tc>
        <w:tc>
          <w:tcPr>
            <w:tcW w:w="37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04</w:t>
            </w:r>
            <w:r>
              <w:rPr>
                <w:rFonts w:ascii="Times New Roman" w:hAnsi="Times New Roman" w:hint="default"/>
                <w:color w:val="000000"/>
                <w:lang w:bidi="ar"/>
              </w:rPr>
              <w:t>表</w:t>
            </w:r>
          </w:p>
        </w:tc>
      </w:tr>
      <w:tr w:rsidR="00A106A7">
        <w:trPr>
          <w:trHeight w:val="90"/>
        </w:trPr>
        <w:tc>
          <w:tcPr>
            <w:tcW w:w="6742"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90"/>
        </w:trPr>
        <w:tc>
          <w:tcPr>
            <w:tcW w:w="6742"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入</w:t>
            </w:r>
          </w:p>
        </w:tc>
        <w:tc>
          <w:tcPr>
            <w:tcW w:w="15618" w:type="dxa"/>
            <w:gridSpan w:val="5"/>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出</w:t>
            </w:r>
          </w:p>
        </w:tc>
      </w:tr>
      <w:tr w:rsidR="00A106A7">
        <w:trPr>
          <w:trHeight w:val="90"/>
        </w:trPr>
        <w:tc>
          <w:tcPr>
            <w:tcW w:w="4068"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674"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375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w:t>
            </w:r>
          </w:p>
        </w:tc>
        <w:tc>
          <w:tcPr>
            <w:tcW w:w="11866" w:type="dxa"/>
            <w:gridSpan w:val="4"/>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A106A7">
        <w:trPr>
          <w:trHeight w:val="90"/>
        </w:trPr>
        <w:tc>
          <w:tcPr>
            <w:tcW w:w="4068"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674"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75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一般公共预算财政拨款</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政府性基金预算财政拨款</w:t>
            </w:r>
          </w:p>
        </w:tc>
        <w:tc>
          <w:tcPr>
            <w:tcW w:w="3010"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国有资本经营预算财政拨款</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519.01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519.01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456.28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456.28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75.74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75.74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45.53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45.53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年初财政拨款结转和结余</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年末财政拨款结转和结余</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3,603.01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3,603.01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3,603.01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bl>
    <w:p w:rsidR="00A106A7" w:rsidRDefault="0081645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本表反映单位本年度一般公共预算财政拨款、政府性基金预算财政拨款及国有资本经营预算财政拨款的总收支和年末结转结余情况。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rPr>
          <w:rFonts w:ascii="Times New Roman" w:hAnsi="Times New Roman" w:hint="default"/>
          <w:sz w:val="21"/>
          <w:szCs w:val="21"/>
        </w:rPr>
      </w:pPr>
      <w:r>
        <w:rPr>
          <w:rFonts w:ascii="Times New Roman" w:hAnsi="Times New Roman" w:hint="default"/>
          <w:sz w:val="21"/>
          <w:szCs w:val="21"/>
        </w:rPr>
        <w:br w:type="page"/>
      </w:r>
    </w:p>
    <w:tbl>
      <w:tblPr>
        <w:tblW w:w="22300" w:type="dxa"/>
        <w:tblLayout w:type="fixed"/>
        <w:tblCellMar>
          <w:left w:w="0" w:type="dxa"/>
          <w:right w:w="0" w:type="dxa"/>
        </w:tblCellMar>
        <w:tblLook w:val="04A0" w:firstRow="1" w:lastRow="0" w:firstColumn="1" w:lastColumn="0" w:noHBand="0" w:noVBand="1"/>
      </w:tblPr>
      <w:tblGrid>
        <w:gridCol w:w="2694"/>
        <w:gridCol w:w="5151"/>
        <w:gridCol w:w="4817"/>
        <w:gridCol w:w="4817"/>
        <w:gridCol w:w="4821"/>
      </w:tblGrid>
      <w:tr w:rsidR="00A106A7">
        <w:trPr>
          <w:trHeight w:val="510"/>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一般公共预算财政拨款支出决算表</w:t>
            </w:r>
          </w:p>
        </w:tc>
      </w:tr>
      <w:tr w:rsidR="00A106A7">
        <w:trPr>
          <w:trHeight w:val="255"/>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p>
        </w:tc>
        <w:tc>
          <w:tcPr>
            <w:tcW w:w="481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05</w:t>
            </w:r>
            <w:r>
              <w:rPr>
                <w:rFonts w:ascii="Times New Roman" w:hAnsi="Times New Roman" w:hint="default"/>
                <w:color w:val="000000"/>
                <w:lang w:bidi="ar"/>
              </w:rPr>
              <w:t>表</w:t>
            </w:r>
          </w:p>
        </w:tc>
      </w:tr>
      <w:tr w:rsidR="00A106A7">
        <w:trPr>
          <w:trHeight w:val="285"/>
        </w:trPr>
        <w:tc>
          <w:tcPr>
            <w:tcW w:w="7845"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308"/>
        </w:trPr>
        <w:tc>
          <w:tcPr>
            <w:tcW w:w="7845"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445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A106A7">
        <w:trPr>
          <w:trHeight w:val="312"/>
        </w:trPr>
        <w:tc>
          <w:tcPr>
            <w:tcW w:w="2694"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515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82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A106A7">
        <w:trPr>
          <w:trHeight w:val="312"/>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615"/>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08"/>
        </w:trPr>
        <w:tc>
          <w:tcPr>
            <w:tcW w:w="7845"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3,603.01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1,045.04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2,557.96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519.01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479.01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40.00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519.01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479.01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40.00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479.01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479.01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40.00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456.28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444.77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11.51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417.25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417.25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13.70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13.70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57.48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57.48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41.30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41.30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304.76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304.76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39.03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27.52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11.51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27.52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27.52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11.51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11.51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75.74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75.74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75.74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75.74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33.34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33.34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38.56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38.56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779.65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1,693.90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1,693.90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1,673.90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1,673.90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1,673.90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1,673.90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20.00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20.00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45.53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45.53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45.53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45.53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45.53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45.53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r>
      <w:tr w:rsidR="00A106A7">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32.90 </w:t>
            </w:r>
          </w:p>
        </w:tc>
      </w:tr>
    </w:tbl>
    <w:p w:rsidR="00A106A7" w:rsidRDefault="0081645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本表反映单位本年度一般公共预算财政拨款支出情况。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ind w:firstLineChars="300" w:firstLine="630"/>
        <w:rPr>
          <w:rFonts w:ascii="Times New Roman" w:hAnsi="Times New Roman" w:hint="default"/>
          <w:sz w:val="21"/>
          <w:szCs w:val="21"/>
        </w:rPr>
      </w:pPr>
      <w:r>
        <w:rPr>
          <w:rFonts w:ascii="Times New Roman" w:hAnsi="Times New Roman" w:hint="default"/>
          <w:sz w:val="21"/>
          <w:szCs w:val="21"/>
        </w:rPr>
        <w:br w:type="page"/>
      </w:r>
    </w:p>
    <w:tbl>
      <w:tblPr>
        <w:tblW w:w="22280" w:type="dxa"/>
        <w:tblLayout w:type="fixed"/>
        <w:tblCellMar>
          <w:left w:w="0" w:type="dxa"/>
          <w:right w:w="0" w:type="dxa"/>
        </w:tblCellMar>
        <w:tblLook w:val="04A0" w:firstRow="1" w:lastRow="0" w:firstColumn="1" w:lastColumn="0" w:noHBand="0" w:noVBand="1"/>
      </w:tblPr>
      <w:tblGrid>
        <w:gridCol w:w="1289"/>
        <w:gridCol w:w="3495"/>
        <w:gridCol w:w="2829"/>
        <w:gridCol w:w="1122"/>
        <w:gridCol w:w="2330"/>
        <w:gridCol w:w="2747"/>
        <w:gridCol w:w="1509"/>
        <w:gridCol w:w="4465"/>
        <w:gridCol w:w="2494"/>
      </w:tblGrid>
      <w:tr w:rsidR="00A106A7">
        <w:trPr>
          <w:trHeight w:val="590"/>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一般公共预算财政拨款基本支出决算表</w:t>
            </w:r>
          </w:p>
        </w:tc>
      </w:tr>
      <w:tr w:rsidR="00A106A7">
        <w:trPr>
          <w:trHeight w:val="302"/>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2"/>
                <w:szCs w:val="22"/>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p>
        </w:tc>
        <w:tc>
          <w:tcPr>
            <w:tcW w:w="282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06</w:t>
            </w:r>
            <w:r>
              <w:rPr>
                <w:rFonts w:ascii="Times New Roman" w:hAnsi="Times New Roman" w:hint="default"/>
                <w:color w:val="000000"/>
                <w:lang w:bidi="ar"/>
              </w:rPr>
              <w:t>表</w:t>
            </w:r>
          </w:p>
        </w:tc>
      </w:tr>
      <w:tr w:rsidR="00A106A7">
        <w:trPr>
          <w:trHeight w:val="302"/>
        </w:trPr>
        <w:tc>
          <w:tcPr>
            <w:tcW w:w="4784"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311"/>
        </w:trPr>
        <w:tc>
          <w:tcPr>
            <w:tcW w:w="7613" w:type="dxa"/>
            <w:gridSpan w:val="3"/>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w:t>
            </w:r>
          </w:p>
        </w:tc>
        <w:tc>
          <w:tcPr>
            <w:tcW w:w="14667" w:type="dxa"/>
            <w:gridSpan w:val="6"/>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w:t>
            </w:r>
          </w:p>
        </w:tc>
      </w:tr>
      <w:tr w:rsidR="00A106A7">
        <w:trPr>
          <w:trHeight w:val="312"/>
        </w:trPr>
        <w:tc>
          <w:tcPr>
            <w:tcW w:w="128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349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8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122"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233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4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50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446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94"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r>
      <w:tr w:rsidR="00A106A7">
        <w:trPr>
          <w:trHeight w:val="799"/>
        </w:trPr>
        <w:tc>
          <w:tcPr>
            <w:tcW w:w="128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349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8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122"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33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74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150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6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94"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579.77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78.54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4.19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基本工资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129.43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1.07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房屋建筑物购建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津贴补贴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89.55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印刷费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4.19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161.83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咨询费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伙食补助费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11.00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手续费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基础设施建设</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绩效工资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水费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0.80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31006</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大型修缮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机关事业单位基本养老保险缴费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57.48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2.50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信息网络及软件购置更新</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职业年金缴费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41.30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邮电费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8.83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物资储备</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64"/>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职工基本医疗保险缴费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33.34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取暖费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土地补偿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公务员医疗补助缴费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物业管理费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安置补助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其他社会保障缴费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1.02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差旅费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19.10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地上附着物和青苗补偿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住房公积金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45.53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因公出国（境）费用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拆迁补偿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5.84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维修（护）费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0.39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3.46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租赁费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其他交通工具购置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382.54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会议费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0.30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文物和陈列品购置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离休费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18.27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培训费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1.78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无形资产购置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公务接待费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1.88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退职（役）费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专用材料费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抚恤金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27.52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被装购置费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资本金注入</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30305</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生活补助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290.11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专用燃料费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政府投资基金股权投资</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救济费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劳务费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1.58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31204</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费用补贴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36.56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委托业务费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利息补贴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助学金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工会经费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4.84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奖励金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10.08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福利费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4.73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个人农业生产补贴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公务用车运行维护费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7.00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国家赔偿费用支出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代缴社会保险费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23.75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对民间非营利组织和群众性自治组织补贴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30240</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税金及附加费用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经常性赠与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30299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债务利息及费用支出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A106A7">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color w:val="000000"/>
                <w:sz w:val="22"/>
                <w:szCs w:val="22"/>
              </w:rPr>
            </w:pPr>
          </w:p>
        </w:tc>
      </w:tr>
      <w:tr w:rsidR="00A106A7">
        <w:trPr>
          <w:trHeight w:val="321"/>
        </w:trPr>
        <w:tc>
          <w:tcPr>
            <w:tcW w:w="4784" w:type="dxa"/>
            <w:gridSpan w:val="2"/>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人员经费合计</w:t>
            </w:r>
          </w:p>
        </w:tc>
        <w:tc>
          <w:tcPr>
            <w:tcW w:w="28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A106A7" w:rsidRDefault="0081645C">
            <w:pPr>
              <w:wordWrap w:val="0"/>
              <w:jc w:val="right"/>
              <w:textAlignment w:val="bottom"/>
              <w:rPr>
                <w:rFonts w:ascii="Times New Roman" w:hAnsi="Times New Roman" w:hint="default"/>
                <w:color w:val="000000"/>
                <w:sz w:val="20"/>
                <w:szCs w:val="20"/>
              </w:rPr>
            </w:pPr>
            <w:r>
              <w:rPr>
                <w:rFonts w:ascii="Times New Roman" w:hAnsi="Times New Roman" w:hint="default"/>
                <w:color w:val="000000"/>
                <w:sz w:val="21"/>
                <w:szCs w:val="21"/>
                <w:lang w:bidi="ar"/>
              </w:rPr>
              <w:t xml:space="preserve">962.31 </w:t>
            </w:r>
          </w:p>
        </w:tc>
        <w:tc>
          <w:tcPr>
            <w:tcW w:w="12173" w:type="dxa"/>
            <w:gridSpan w:val="5"/>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公用经费合计</w:t>
            </w:r>
          </w:p>
        </w:tc>
        <w:tc>
          <w:tcPr>
            <w:tcW w:w="249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82.73 </w:t>
            </w:r>
          </w:p>
        </w:tc>
      </w:tr>
    </w:tbl>
    <w:p w:rsidR="00A106A7" w:rsidRDefault="0081645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本表反映单位本年度一般公共预算财政拨款基本支出明细情况。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A106A7" w:rsidRDefault="00A106A7">
      <w:pPr>
        <w:rPr>
          <w:rFonts w:ascii="Times New Roman" w:hAnsi="Times New Roman" w:hint="default"/>
          <w:sz w:val="21"/>
          <w:szCs w:val="21"/>
        </w:rPr>
      </w:pPr>
    </w:p>
    <w:tbl>
      <w:tblPr>
        <w:tblW w:w="22240" w:type="dxa"/>
        <w:tblLayout w:type="fixed"/>
        <w:tblCellMar>
          <w:left w:w="0" w:type="dxa"/>
          <w:right w:w="0" w:type="dxa"/>
        </w:tblCellMar>
        <w:tblLook w:val="04A0" w:firstRow="1" w:lastRow="0" w:firstColumn="1" w:lastColumn="0" w:noHBand="0" w:noVBand="1"/>
      </w:tblPr>
      <w:tblGrid>
        <w:gridCol w:w="2686"/>
        <w:gridCol w:w="4465"/>
        <w:gridCol w:w="2473"/>
        <w:gridCol w:w="2473"/>
        <w:gridCol w:w="2473"/>
        <w:gridCol w:w="2473"/>
        <w:gridCol w:w="2558"/>
        <w:gridCol w:w="2639"/>
      </w:tblGrid>
      <w:tr w:rsidR="00A106A7">
        <w:trPr>
          <w:trHeight w:val="644"/>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政府性基金预算财政拨款收入支出决算表</w:t>
            </w:r>
          </w:p>
        </w:tc>
      </w:tr>
      <w:tr w:rsidR="00A106A7">
        <w:trPr>
          <w:trHeight w:val="329"/>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07</w:t>
            </w:r>
            <w:r>
              <w:rPr>
                <w:rFonts w:ascii="Times New Roman" w:hAnsi="Times New Roman" w:hint="default"/>
                <w:color w:val="000000"/>
                <w:lang w:bidi="ar"/>
              </w:rPr>
              <w:t>表</w:t>
            </w:r>
          </w:p>
        </w:tc>
      </w:tr>
      <w:tr w:rsidR="00A106A7">
        <w:trPr>
          <w:trHeight w:val="329"/>
        </w:trPr>
        <w:tc>
          <w:tcPr>
            <w:tcW w:w="7151"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339"/>
        </w:trPr>
        <w:tc>
          <w:tcPr>
            <w:tcW w:w="7151"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73"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年初结转和结余</w:t>
            </w:r>
          </w:p>
        </w:tc>
        <w:tc>
          <w:tcPr>
            <w:tcW w:w="247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w:t>
            </w:r>
          </w:p>
        </w:tc>
        <w:tc>
          <w:tcPr>
            <w:tcW w:w="7504"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c>
          <w:tcPr>
            <w:tcW w:w="263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年末结转和结余</w:t>
            </w:r>
          </w:p>
        </w:tc>
      </w:tr>
      <w:tr w:rsidR="00A106A7">
        <w:trPr>
          <w:trHeight w:val="335"/>
        </w:trPr>
        <w:tc>
          <w:tcPr>
            <w:tcW w:w="268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65"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558"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64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9"/>
        </w:trPr>
        <w:tc>
          <w:tcPr>
            <w:tcW w:w="7151"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A106A7">
        <w:trPr>
          <w:trHeight w:val="349"/>
        </w:trPr>
        <w:tc>
          <w:tcPr>
            <w:tcW w:w="26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both"/>
              <w:textAlignment w:val="center"/>
              <w:rPr>
                <w:rFonts w:ascii="Times New Roman" w:hAnsi="Times New Roman" w:hint="default"/>
                <w:color w:val="000000"/>
                <w:sz w:val="22"/>
                <w:szCs w:val="22"/>
              </w:rPr>
            </w:pPr>
          </w:p>
        </w:tc>
        <w:tc>
          <w:tcPr>
            <w:tcW w:w="44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both"/>
              <w:textAlignment w:val="center"/>
              <w:rPr>
                <w:rFonts w:ascii="Times New Roman" w:hAnsi="Times New Roman" w:hint="default"/>
                <w:color w:val="000000"/>
                <w:sz w:val="22"/>
                <w:szCs w:val="22"/>
              </w:rPr>
            </w:pP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A106A7" w:rsidRDefault="0081645C">
      <w:pPr>
        <w:rPr>
          <w:rFonts w:ascii="Times New Roman" w:hAnsi="Times New Roman" w:hint="default"/>
          <w:sz w:val="21"/>
          <w:szCs w:val="21"/>
        </w:rPr>
      </w:pPr>
      <w:r>
        <w:rPr>
          <w:rFonts w:ascii="Times New Roman" w:hAnsi="Times New Roman" w:hint="default"/>
          <w:sz w:val="21"/>
          <w:szCs w:val="21"/>
          <w:lang w:bidi="ar"/>
        </w:rPr>
        <w:t>备注：本表反映单位本年度政府性基金预算财政拨款收入支出及结转和结余情况。本单位无政府性基金收支，故本表无数据。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rPr>
          <w:rFonts w:ascii="Times New Roman" w:hAnsi="Times New Roman" w:hint="default"/>
          <w:sz w:val="21"/>
          <w:szCs w:val="21"/>
        </w:rPr>
      </w:pPr>
      <w:r>
        <w:rPr>
          <w:rFonts w:ascii="Times New Roman" w:hAnsi="Times New Roman" w:hint="default"/>
          <w:sz w:val="21"/>
          <w:szCs w:val="21"/>
        </w:rPr>
        <w:br w:type="page"/>
      </w:r>
    </w:p>
    <w:tbl>
      <w:tblPr>
        <w:tblW w:w="22220" w:type="dxa"/>
        <w:tblLayout w:type="fixed"/>
        <w:tblCellMar>
          <w:left w:w="0" w:type="dxa"/>
          <w:right w:w="0" w:type="dxa"/>
        </w:tblCellMar>
        <w:tblLook w:val="04A0" w:firstRow="1" w:lastRow="0" w:firstColumn="1" w:lastColumn="0" w:noHBand="0" w:noVBand="1"/>
      </w:tblPr>
      <w:tblGrid>
        <w:gridCol w:w="2729"/>
        <w:gridCol w:w="4420"/>
        <w:gridCol w:w="4736"/>
        <w:gridCol w:w="5423"/>
        <w:gridCol w:w="4912"/>
      </w:tblGrid>
      <w:tr w:rsidR="00A106A7">
        <w:trPr>
          <w:trHeight w:val="650"/>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国有资本经营预算财政拨款支出决算表</w:t>
            </w:r>
          </w:p>
        </w:tc>
      </w:tr>
      <w:tr w:rsidR="00A106A7">
        <w:trPr>
          <w:trHeight w:val="332"/>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rsidR="00A106A7" w:rsidRDefault="0081645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重庆市黔江区商务委员会（本级）</w:t>
            </w:r>
          </w:p>
        </w:tc>
        <w:tc>
          <w:tcPr>
            <w:tcW w:w="4736"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08</w:t>
            </w:r>
            <w:r>
              <w:rPr>
                <w:rFonts w:ascii="Times New Roman" w:hAnsi="Times New Roman" w:hint="default"/>
                <w:color w:val="000000"/>
                <w:lang w:bidi="ar"/>
              </w:rPr>
              <w:t>表</w:t>
            </w:r>
          </w:p>
        </w:tc>
      </w:tr>
      <w:tr w:rsidR="00A106A7">
        <w:trPr>
          <w:trHeight w:val="332"/>
        </w:trPr>
        <w:tc>
          <w:tcPr>
            <w:tcW w:w="7149" w:type="dxa"/>
            <w:gridSpan w:val="2"/>
            <w:vMerge/>
            <w:tcBorders>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A106A7" w:rsidRDefault="00A106A7">
            <w:pPr>
              <w:rPr>
                <w:rFonts w:ascii="Times New Roman" w:hAnsi="Times New Roman" w:hint="default"/>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A106A7" w:rsidRDefault="0081645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A106A7">
        <w:trPr>
          <w:trHeight w:val="422"/>
        </w:trPr>
        <w:tc>
          <w:tcPr>
            <w:tcW w:w="7149"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5071" w:type="dxa"/>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A106A7" w:rsidRDefault="0081645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A106A7">
        <w:trPr>
          <w:trHeight w:val="339"/>
        </w:trPr>
        <w:tc>
          <w:tcPr>
            <w:tcW w:w="272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2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科目名称</w:t>
            </w:r>
          </w:p>
        </w:tc>
        <w:tc>
          <w:tcPr>
            <w:tcW w:w="4736"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542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91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A106A7">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312"/>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A106A7" w:rsidRDefault="00A106A7">
            <w:pPr>
              <w:jc w:val="center"/>
              <w:rPr>
                <w:rFonts w:ascii="Times New Roman" w:hAnsi="Times New Roman" w:hint="default"/>
                <w:b/>
                <w:color w:val="000000"/>
                <w:sz w:val="22"/>
                <w:szCs w:val="22"/>
              </w:rPr>
            </w:pPr>
          </w:p>
        </w:tc>
      </w:tr>
      <w:tr w:rsidR="00A106A7">
        <w:trPr>
          <w:trHeight w:val="611"/>
        </w:trPr>
        <w:tc>
          <w:tcPr>
            <w:tcW w:w="7149"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A106A7" w:rsidRDefault="0081645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A106A7">
        <w:trPr>
          <w:trHeight w:val="488"/>
        </w:trPr>
        <w:tc>
          <w:tcPr>
            <w:tcW w:w="27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textAlignment w:val="center"/>
              <w:rPr>
                <w:rFonts w:ascii="Times New Roman" w:hAnsi="Times New Roman" w:hint="default"/>
                <w:color w:val="000000"/>
                <w:sz w:val="22"/>
                <w:szCs w:val="22"/>
              </w:rPr>
            </w:pPr>
          </w:p>
        </w:tc>
        <w:tc>
          <w:tcPr>
            <w:tcW w:w="44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textAlignment w:val="center"/>
              <w:rPr>
                <w:rFonts w:ascii="Times New Roman" w:hAnsi="Times New Roman" w:hint="default"/>
                <w:color w:val="000000"/>
                <w:sz w:val="22"/>
                <w:szCs w:val="22"/>
              </w:rPr>
            </w:pP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A106A7">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A106A7" w:rsidRDefault="0081645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A106A7" w:rsidRDefault="0081645C">
      <w:pPr>
        <w:rPr>
          <w:rFonts w:ascii="Times New Roman" w:hAnsi="Times New Roman" w:hint="default"/>
          <w:sz w:val="21"/>
          <w:szCs w:val="21"/>
          <w:lang w:bidi="ar"/>
        </w:rPr>
      </w:pPr>
      <w:r>
        <w:rPr>
          <w:rFonts w:ascii="Times New Roman" w:hAnsi="Times New Roman" w:hint="default"/>
          <w:sz w:val="21"/>
          <w:szCs w:val="21"/>
          <w:lang w:bidi="ar"/>
        </w:rPr>
        <w:t>备注：本表反映单位本年度国有资本经营预算财政拨款支出情况。本单位无国有资本经营收支，故本表无数据。</w:t>
      </w:r>
      <w:r>
        <w:rPr>
          <w:rFonts w:ascii="Times New Roman" w:hAnsi="Times New Roman" w:hint="default"/>
          <w:sz w:val="21"/>
          <w:szCs w:val="21"/>
          <w:lang w:bidi="ar"/>
        </w:rPr>
        <w:br/>
      </w:r>
      <w:r>
        <w:rPr>
          <w:rFonts w:ascii="Times New Roman" w:hAnsi="Times New Roman" w:hint="default"/>
          <w:sz w:val="21"/>
          <w:szCs w:val="21"/>
        </w:rPr>
        <w:br/>
      </w:r>
    </w:p>
    <w:p w:rsidR="00A106A7" w:rsidRDefault="0081645C">
      <w:pPr>
        <w:rPr>
          <w:rFonts w:ascii="Times New Roman" w:hAnsi="Times New Roman" w:hint="default"/>
          <w:sz w:val="21"/>
          <w:szCs w:val="21"/>
        </w:rPr>
      </w:pPr>
      <w:r>
        <w:rPr>
          <w:rFonts w:ascii="Times New Roman" w:hAnsi="Times New Roman" w:hint="default"/>
          <w:sz w:val="21"/>
          <w:szCs w:val="21"/>
        </w:rPr>
        <w:br w:type="page"/>
      </w:r>
    </w:p>
    <w:tbl>
      <w:tblPr>
        <w:tblW w:w="22168" w:type="dxa"/>
        <w:tblLayout w:type="fixed"/>
        <w:tblCellMar>
          <w:left w:w="0" w:type="dxa"/>
          <w:right w:w="0" w:type="dxa"/>
        </w:tblCellMar>
        <w:tblLook w:val="04A0" w:firstRow="1" w:lastRow="0" w:firstColumn="1" w:lastColumn="0" w:noHBand="0" w:noVBand="1"/>
      </w:tblPr>
      <w:tblGrid>
        <w:gridCol w:w="5159"/>
        <w:gridCol w:w="3822"/>
        <w:gridCol w:w="3281"/>
        <w:gridCol w:w="6581"/>
        <w:gridCol w:w="3325"/>
      </w:tblGrid>
      <w:tr w:rsidR="000B0DD2" w:rsidTr="005F5D08">
        <w:trPr>
          <w:trHeight w:val="510"/>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center"/>
              <w:textAlignment w:val="bottom"/>
              <w:rPr>
                <w:rFonts w:cs="宋体" w:hint="default"/>
                <w:b/>
                <w:color w:val="000000"/>
                <w:sz w:val="40"/>
                <w:szCs w:val="40"/>
              </w:rPr>
            </w:pPr>
            <w:r>
              <w:rPr>
                <w:rFonts w:cs="宋体"/>
                <w:b/>
                <w:color w:val="000000"/>
                <w:sz w:val="44"/>
                <w:szCs w:val="44"/>
                <w:lang w:bidi="ar"/>
              </w:rPr>
              <w:lastRenderedPageBreak/>
              <w:t>机构运行信息表</w:t>
            </w:r>
          </w:p>
        </w:tc>
      </w:tr>
      <w:tr w:rsidR="000B0DD2" w:rsidTr="005F5D08">
        <w:trPr>
          <w:trHeight w:val="255"/>
        </w:trPr>
        <w:tc>
          <w:tcPr>
            <w:tcW w:w="5159"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rPr>
                <w:rFonts w:ascii="Arial" w:hAnsi="Arial" w:cs="Arial" w:hint="default"/>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center"/>
              <w:rPr>
                <w:rFonts w:ascii="Arial" w:hAnsi="Arial" w:cs="Arial" w:hint="default"/>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right"/>
              <w:rPr>
                <w:rFonts w:ascii="Arial" w:hAnsi="Arial" w:cs="Arial" w:hint="default"/>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rPr>
                <w:rFonts w:ascii="Arial" w:hAnsi="Arial" w:cs="Arial" w:hint="default"/>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right"/>
              <w:textAlignment w:val="bottom"/>
              <w:rPr>
                <w:rFonts w:cs="宋体" w:hint="default"/>
                <w:color w:val="000000"/>
              </w:rPr>
            </w:pPr>
            <w:r>
              <w:rPr>
                <w:rFonts w:cs="宋体"/>
                <w:color w:val="000000"/>
                <w:lang w:bidi="ar"/>
              </w:rPr>
              <w:t>公开09表</w:t>
            </w:r>
          </w:p>
        </w:tc>
      </w:tr>
      <w:tr w:rsidR="000B0DD2" w:rsidTr="005F5D08">
        <w:trPr>
          <w:trHeight w:val="285"/>
        </w:trPr>
        <w:tc>
          <w:tcPr>
            <w:tcW w:w="5159"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textAlignment w:val="bottom"/>
              <w:rPr>
                <w:rFonts w:ascii="Arial" w:hAnsi="Arial" w:cs="Arial" w:hint="default"/>
                <w:color w:val="000000"/>
                <w:sz w:val="22"/>
                <w:szCs w:val="22"/>
              </w:rPr>
            </w:pPr>
            <w:r>
              <w:rPr>
                <w:rFonts w:asciiTheme="minorEastAsia" w:eastAsiaTheme="minorEastAsia" w:hAnsiTheme="minorEastAsia" w:cstheme="minorEastAsia"/>
              </w:rPr>
              <w:t>公开单位</w:t>
            </w:r>
            <w:r>
              <w:rPr>
                <w:rFonts w:asciiTheme="minorEastAsia" w:eastAsiaTheme="minorEastAsia" w:hAnsiTheme="minorEastAsia" w:cstheme="minorEastAsia"/>
                <w:color w:val="000000"/>
                <w:lang w:bidi="ar"/>
              </w:rPr>
              <w:t xml:space="preserve">： </w:t>
            </w:r>
            <w:r>
              <w:rPr>
                <w:color w:val="000000"/>
              </w:rPr>
              <w:t>重庆市黔江区商务委员会（本级）</w:t>
            </w:r>
          </w:p>
        </w:tc>
        <w:tc>
          <w:tcPr>
            <w:tcW w:w="3822"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center"/>
              <w:rPr>
                <w:rFonts w:cs="宋体" w:hint="default"/>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right"/>
              <w:rPr>
                <w:rFonts w:ascii="Arial" w:hAnsi="Arial" w:cs="Arial" w:hint="default"/>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rPr>
                <w:rFonts w:ascii="Arial" w:hAnsi="Arial" w:cs="Arial" w:hint="default"/>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0B0DD2" w:rsidRDefault="000B0DD2" w:rsidP="005F5D08">
            <w:pPr>
              <w:jc w:val="right"/>
              <w:textAlignment w:val="bottom"/>
              <w:rPr>
                <w:rFonts w:cs="宋体" w:hint="default"/>
                <w:color w:val="000000"/>
              </w:rPr>
            </w:pPr>
            <w:r>
              <w:rPr>
                <w:rFonts w:cs="宋体"/>
                <w:color w:val="000000"/>
                <w:lang w:bidi="ar"/>
              </w:rPr>
              <w:t>单位：</w:t>
            </w:r>
            <w:r>
              <w:rPr>
                <w:rFonts w:cs="宋体"/>
              </w:rPr>
              <w:t>万元</w:t>
            </w:r>
          </w:p>
        </w:tc>
      </w:tr>
      <w:tr w:rsidR="000B0DD2" w:rsidTr="005F5D08">
        <w:trPr>
          <w:trHeight w:val="308"/>
        </w:trPr>
        <w:tc>
          <w:tcPr>
            <w:tcW w:w="5159" w:type="dxa"/>
            <w:tcBorders>
              <w:top w:val="single" w:sz="4" w:space="0" w:color="000000"/>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8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jc w:val="center"/>
              <w:textAlignment w:val="center"/>
              <w:rPr>
                <w:rFonts w:cs="宋体" w:hint="default"/>
                <w:b/>
                <w:color w:val="000000"/>
                <w:sz w:val="22"/>
                <w:szCs w:val="22"/>
              </w:rPr>
            </w:pPr>
            <w:r>
              <w:rPr>
                <w:rFonts w:cs="宋体"/>
                <w:b/>
                <w:color w:val="000000"/>
                <w:sz w:val="22"/>
                <w:szCs w:val="22"/>
                <w:lang w:bidi="ar"/>
              </w:rPr>
              <w:t>预算数</w:t>
            </w:r>
          </w:p>
        </w:tc>
        <w:tc>
          <w:tcPr>
            <w:tcW w:w="3281"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0B0DD2" w:rsidRDefault="000B0DD2" w:rsidP="005F5D08">
            <w:pPr>
              <w:jc w:val="center"/>
              <w:textAlignment w:val="center"/>
              <w:rPr>
                <w:rFonts w:cs="宋体" w:hint="default"/>
                <w:b/>
                <w:color w:val="000000"/>
                <w:sz w:val="22"/>
                <w:szCs w:val="22"/>
              </w:rPr>
            </w:pPr>
            <w:r>
              <w:rPr>
                <w:rFonts w:cs="宋体"/>
                <w:b/>
                <w:color w:val="000000"/>
                <w:sz w:val="22"/>
                <w:szCs w:val="22"/>
                <w:lang w:bidi="ar"/>
              </w:rPr>
              <w:t>决算数</w:t>
            </w:r>
          </w:p>
        </w:tc>
        <w:tc>
          <w:tcPr>
            <w:tcW w:w="6581" w:type="dxa"/>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325"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0B0DD2" w:rsidRDefault="000B0DD2" w:rsidP="005F5D08">
            <w:pPr>
              <w:jc w:val="center"/>
              <w:textAlignment w:val="center"/>
              <w:rPr>
                <w:rFonts w:cs="宋体" w:hint="default"/>
                <w:b/>
                <w:color w:val="000000"/>
                <w:sz w:val="22"/>
                <w:szCs w:val="22"/>
              </w:rPr>
            </w:pPr>
            <w:r>
              <w:rPr>
                <w:rFonts w:cs="宋体"/>
                <w:b/>
                <w:color w:val="000000"/>
                <w:sz w:val="22"/>
                <w:szCs w:val="22"/>
                <w:lang w:bidi="ar"/>
              </w:rPr>
              <w:t>决算数</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一、“三公”经费支出</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五、机关运行经费</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82.73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（一）支出合计</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8.88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8.88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（一）行政单位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82.73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1．因公出国（境）费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（二）参照公务员法管理事业单位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2．公务用车购置及运行维护费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六、资产信息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（1）公务用车购置费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（一）车辆数合计（辆）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（2）公务用车运行维护费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1．副部（省）级及以上领导用车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3．公务接待费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2．主要领导干部用车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（1）国内接待费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3．机要通信用车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4．应急保障用车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5．执法执勤用车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6．特种专业技术用车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7．离退休干部用车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8．其他用车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（二）单价100万元（含）以上设备（不含车辆）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七、政府采购支出信息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29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（一）政府采购支出合计</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156.46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1．政府采购货物支出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4.66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258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2．政府采购工程支出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3．政府采购服务支出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151.81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（二）政府采购授予中小企业合同金额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123.46 </w:t>
            </w:r>
          </w:p>
        </w:tc>
      </w:tr>
      <w:tr w:rsidR="000B0DD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 xml:space="preserve">        其中：授予小微企业合同金额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92.06 </w:t>
            </w:r>
          </w:p>
        </w:tc>
      </w:tr>
      <w:tr w:rsidR="000B0DD2" w:rsidTr="005F5D08">
        <w:trPr>
          <w:trHeight w:val="308"/>
        </w:trPr>
        <w:tc>
          <w:tcPr>
            <w:tcW w:w="5159" w:type="dxa"/>
            <w:tcBorders>
              <w:top w:val="nil"/>
              <w:left w:val="single" w:sz="4" w:space="0" w:color="000000"/>
              <w:bottom w:val="single" w:sz="4" w:space="0" w:color="auto"/>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二、会议费</w:t>
            </w:r>
          </w:p>
        </w:tc>
        <w:tc>
          <w:tcPr>
            <w:tcW w:w="3822"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0.30 </w:t>
            </w:r>
          </w:p>
        </w:tc>
        <w:tc>
          <w:tcPr>
            <w:tcW w:w="6581" w:type="dxa"/>
            <w:tcBorders>
              <w:top w:val="nil"/>
              <w:left w:val="nil"/>
              <w:bottom w:val="single" w:sz="4" w:space="0" w:color="auto"/>
              <w:right w:val="single" w:sz="4" w:space="0" w:color="000000"/>
            </w:tcBorders>
            <w:shd w:val="clear" w:color="FFFFFF" w:fill="C0C0C0"/>
            <w:noWrap/>
            <w:tcMar>
              <w:top w:w="15" w:type="dxa"/>
              <w:left w:w="15" w:type="dxa"/>
              <w:right w:w="15" w:type="dxa"/>
            </w:tcMar>
            <w:vAlign w:val="center"/>
          </w:tcPr>
          <w:p w:rsidR="000B0DD2" w:rsidRDefault="000B0DD2" w:rsidP="005F5D08">
            <w:pPr>
              <w:rPr>
                <w:rFonts w:cs="宋体" w:hint="default"/>
                <w:color w:val="000000"/>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jc w:val="right"/>
              <w:rPr>
                <w:rFonts w:ascii="Arial" w:hAnsi="Arial" w:cs="Arial" w:hint="default"/>
                <w:color w:val="000000"/>
                <w:sz w:val="20"/>
                <w:szCs w:val="20"/>
              </w:rPr>
            </w:pPr>
          </w:p>
        </w:tc>
      </w:tr>
      <w:tr w:rsidR="000B0DD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rPr>
            </w:pPr>
            <w:r>
              <w:rPr>
                <w:rFonts w:cs="宋体"/>
                <w:color w:val="000000"/>
                <w:sz w:val="22"/>
                <w:szCs w:val="22"/>
                <w:lang w:bidi="ar"/>
              </w:rPr>
              <w:t>三、培训费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1.78 </w:t>
            </w:r>
          </w:p>
        </w:tc>
        <w:tc>
          <w:tcPr>
            <w:tcW w:w="6581" w:type="dxa"/>
            <w:tcBorders>
              <w:top w:val="single" w:sz="4" w:space="0" w:color="auto"/>
              <w:left w:val="single" w:sz="4" w:space="0" w:color="auto"/>
              <w:bottom w:val="single" w:sz="4" w:space="0" w:color="auto"/>
              <w:right w:val="single" w:sz="4" w:space="0" w:color="auto"/>
            </w:tcBorders>
            <w:shd w:val="clear" w:color="FFFFFF" w:fill="C0C0C0"/>
            <w:noWrap/>
            <w:tcMar>
              <w:top w:w="15" w:type="dxa"/>
              <w:left w:w="15" w:type="dxa"/>
              <w:right w:w="15" w:type="dxa"/>
            </w:tcMar>
            <w:vAlign w:val="center"/>
          </w:tcPr>
          <w:p w:rsidR="000B0DD2" w:rsidRDefault="000B0DD2" w:rsidP="005F5D08">
            <w:pPr>
              <w:rPr>
                <w:rFonts w:cs="宋体" w:hint="default"/>
                <w:color w:val="000000"/>
                <w:sz w:val="22"/>
                <w:szCs w:val="22"/>
              </w:rPr>
            </w:pPr>
          </w:p>
        </w:tc>
        <w:tc>
          <w:tcPr>
            <w:tcW w:w="3325"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jc w:val="right"/>
              <w:rPr>
                <w:rFonts w:ascii="Arial" w:hAnsi="Arial" w:cs="Arial" w:hint="default"/>
                <w:color w:val="000000"/>
                <w:sz w:val="20"/>
                <w:szCs w:val="20"/>
              </w:rPr>
            </w:pPr>
          </w:p>
        </w:tc>
      </w:tr>
      <w:tr w:rsidR="000B0DD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0B0DD2" w:rsidRDefault="000B0DD2" w:rsidP="005F5D08">
            <w:pPr>
              <w:textAlignment w:val="center"/>
              <w:rPr>
                <w:rFonts w:cs="宋体" w:hint="default"/>
                <w:color w:val="000000"/>
                <w:sz w:val="22"/>
                <w:szCs w:val="22"/>
                <w:lang w:bidi="ar"/>
              </w:rPr>
            </w:pPr>
            <w:r>
              <w:rPr>
                <w:rFonts w:cs="宋体"/>
                <w:color w:val="000000"/>
                <w:sz w:val="22"/>
                <w:szCs w:val="22"/>
                <w:lang w:bidi="ar"/>
              </w:rPr>
              <w:t>四、差旅费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0B0DD2" w:rsidRDefault="000B0DD2" w:rsidP="005F5D08">
            <w:pPr>
              <w:jc w:val="center"/>
              <w:textAlignment w:val="center"/>
              <w:rPr>
                <w:rFonts w:cs="宋体" w:hint="default"/>
                <w:color w:val="000000"/>
                <w:sz w:val="22"/>
                <w:szCs w:val="22"/>
                <w:lang w:bidi="ar"/>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right w:w="15" w:type="dxa"/>
            </w:tcMar>
            <w:vAlign w:val="bottom"/>
          </w:tcPr>
          <w:p w:rsidR="000B0DD2" w:rsidRDefault="000B0DD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25.09 </w:t>
            </w:r>
          </w:p>
        </w:tc>
        <w:tc>
          <w:tcPr>
            <w:tcW w:w="6581" w:type="dxa"/>
            <w:tcBorders>
              <w:top w:val="single" w:sz="4" w:space="0" w:color="auto"/>
              <w:left w:val="single" w:sz="4" w:space="0" w:color="auto"/>
              <w:bottom w:val="single" w:sz="4" w:space="0" w:color="auto"/>
              <w:right w:val="single" w:sz="4" w:space="0" w:color="auto"/>
            </w:tcBorders>
            <w:shd w:val="clear" w:color="FFFFFF" w:fill="C0C0C0"/>
            <w:noWrap/>
            <w:tcMar>
              <w:top w:w="15" w:type="dxa"/>
              <w:left w:w="15" w:type="dxa"/>
              <w:right w:w="15" w:type="dxa"/>
            </w:tcMar>
            <w:vAlign w:val="center"/>
          </w:tcPr>
          <w:p w:rsidR="000B0DD2" w:rsidRDefault="000B0DD2" w:rsidP="005F5D08">
            <w:pPr>
              <w:rPr>
                <w:rFonts w:cs="宋体" w:hint="default"/>
                <w:color w:val="000000"/>
                <w:sz w:val="22"/>
                <w:szCs w:val="22"/>
              </w:rPr>
            </w:pPr>
          </w:p>
        </w:tc>
        <w:tc>
          <w:tcPr>
            <w:tcW w:w="3325"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0B0DD2" w:rsidRDefault="000B0DD2" w:rsidP="005F5D08">
            <w:pPr>
              <w:jc w:val="right"/>
              <w:rPr>
                <w:rFonts w:ascii="Arial" w:hAnsi="Arial" w:cs="Arial" w:hint="default"/>
                <w:color w:val="000000"/>
                <w:sz w:val="20"/>
                <w:szCs w:val="20"/>
              </w:rPr>
            </w:pPr>
          </w:p>
        </w:tc>
      </w:tr>
    </w:tbl>
    <w:p w:rsidR="000B0DD2" w:rsidRDefault="000B0DD2" w:rsidP="000B0DD2">
      <w:pPr>
        <w:rPr>
          <w:rFonts w:cs="宋体" w:hint="default"/>
          <w:sz w:val="21"/>
          <w:szCs w:val="21"/>
        </w:rPr>
      </w:pPr>
      <w:r>
        <w:rPr>
          <w:rFonts w:cs="宋体"/>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 xml:space="preserve">      2.本套报表金额单位转换时可能存在尾数误差。</w:t>
      </w:r>
      <w:r>
        <w:rPr>
          <w:rFonts w:cs="宋体"/>
          <w:sz w:val="21"/>
          <w:szCs w:val="21"/>
          <w:lang w:bidi="ar"/>
        </w:rPr>
        <w:br/>
      </w:r>
      <w:r>
        <w:rPr>
          <w:rFonts w:cs="宋体"/>
          <w:sz w:val="21"/>
          <w:szCs w:val="21"/>
        </w:rPr>
        <w:br/>
      </w:r>
      <w:bookmarkStart w:id="0" w:name="_GoBack"/>
      <w:bookmarkEnd w:id="0"/>
    </w:p>
    <w:p w:rsidR="00A106A7" w:rsidRDefault="0081645C">
      <w:pPr>
        <w:rPr>
          <w:rFonts w:ascii="Times New Roman" w:hAnsi="Times New Roman" w:hint="default"/>
          <w:sz w:val="21"/>
          <w:szCs w:val="21"/>
        </w:rPr>
      </w:pPr>
      <w:r>
        <w:rPr>
          <w:rFonts w:ascii="Times New Roman" w:hAnsi="Times New Roman" w:hint="default"/>
          <w:sz w:val="21"/>
          <w:szCs w:val="21"/>
          <w:lang w:bidi="ar"/>
        </w:rPr>
        <w:br/>
      </w:r>
      <w:r>
        <w:rPr>
          <w:rFonts w:ascii="Times New Roman" w:hAnsi="Times New Roman" w:hint="default"/>
          <w:sz w:val="21"/>
          <w:szCs w:val="21"/>
        </w:rPr>
        <w:br/>
      </w: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rPr>
          <w:rFonts w:ascii="Times New Roman" w:hAnsi="Times New Roman" w:hint="default"/>
          <w:color w:val="000000"/>
          <w:sz w:val="21"/>
          <w:szCs w:val="21"/>
          <w:lang w:bidi="ar"/>
        </w:rPr>
      </w:pPr>
    </w:p>
    <w:p w:rsidR="00A106A7" w:rsidRDefault="00A106A7">
      <w:pPr>
        <w:pStyle w:val="1"/>
        <w:autoSpaceDE w:val="0"/>
        <w:ind w:firstLineChars="0" w:firstLine="0"/>
        <w:rPr>
          <w:rFonts w:ascii="Times New Roman" w:hAnsi="Times New Roman"/>
          <w:sz w:val="21"/>
          <w:szCs w:val="21"/>
        </w:rPr>
      </w:pPr>
    </w:p>
    <w:sectPr w:rsidR="00A106A7">
      <w:headerReference w:type="default" r:id="rId8"/>
      <w:footerReference w:type="default" r:id="rId9"/>
      <w:pgSz w:w="23811" w:h="16838" w:orient="landscape"/>
      <w:pgMar w:top="567" w:right="454" w:bottom="567" w:left="1037" w:header="0" w:footer="283"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446D" w:rsidRDefault="009F446D">
      <w:pPr>
        <w:rPr>
          <w:rFonts w:hint="default"/>
        </w:rPr>
      </w:pPr>
      <w:r>
        <w:separator/>
      </w:r>
    </w:p>
  </w:endnote>
  <w:endnote w:type="continuationSeparator" w:id="0">
    <w:p w:rsidR="009F446D" w:rsidRDefault="009F446D">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6A7" w:rsidRDefault="0081645C">
    <w:pPr>
      <w:pStyle w:val="a3"/>
      <w:rPr>
        <w:rFonts w:hint="default"/>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06A7" w:rsidRDefault="0081645C">
                          <w:pPr>
                            <w:pStyle w:val="a3"/>
                            <w:rPr>
                              <w:rFonts w:hint="default"/>
                            </w:rPr>
                          </w:pPr>
                          <w:r>
                            <w:fldChar w:fldCharType="begin"/>
                          </w:r>
                          <w:r>
                            <w:instrText xml:space="preserve"> PAGE  \* MERGEFORMAT </w:instrText>
                          </w:r>
                          <w:r>
                            <w:fldChar w:fldCharType="separate"/>
                          </w:r>
                          <w:r w:rsidR="000B0DD2">
                            <w:rPr>
                              <w:rFonts w:hint="default"/>
                              <w:noProof/>
                            </w:rP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106A7" w:rsidRDefault="0081645C">
                    <w:pPr>
                      <w:pStyle w:val="a3"/>
                      <w:rPr>
                        <w:rFonts w:hint="default"/>
                      </w:rPr>
                    </w:pPr>
                    <w:r>
                      <w:fldChar w:fldCharType="begin"/>
                    </w:r>
                    <w:r>
                      <w:instrText xml:space="preserve"> PAGE  \* MERGEFORMAT </w:instrText>
                    </w:r>
                    <w:r>
                      <w:fldChar w:fldCharType="separate"/>
                    </w:r>
                    <w:r w:rsidR="000B0DD2">
                      <w:rPr>
                        <w:rFonts w:hint="default"/>
                        <w:noProof/>
                      </w:rPr>
                      <w:t>- 11 -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6A7" w:rsidRDefault="0081645C">
    <w:pPr>
      <w:pStyle w:val="a3"/>
      <w:jc w:val="both"/>
      <w:rPr>
        <w:rFonts w:hint="default"/>
      </w:rPr>
    </w:pPr>
    <w:r>
      <w:rPr>
        <w:noProof/>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A106A7" w:rsidRDefault="0081645C">
                          <w:pPr>
                            <w:pStyle w:val="a3"/>
                            <w:rPr>
                              <w:rFonts w:hint="default"/>
                            </w:rPr>
                          </w:pPr>
                          <w:r>
                            <w:t xml:space="preserve"> </w:t>
                          </w:r>
                          <w:r>
                            <w:fldChar w:fldCharType="begin"/>
                          </w:r>
                          <w:r>
                            <w:instrText>PAGE   \* MERGEFORMAT</w:instrText>
                          </w:r>
                          <w:r>
                            <w:fldChar w:fldCharType="separate"/>
                          </w:r>
                          <w:r w:rsidR="000B0DD2" w:rsidRPr="000B0DD2">
                            <w:rPr>
                              <w:rFonts w:hint="default"/>
                              <w:noProof/>
                              <w:lang w:val="zh-CN"/>
                            </w:rPr>
                            <w:t>-</w:t>
                          </w:r>
                          <w:r w:rsidR="000B0DD2">
                            <w:rPr>
                              <w:rFonts w:hint="default"/>
                              <w:noProof/>
                            </w:rPr>
                            <w:t xml:space="preserve"> 21 -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MHwIAACAEAAAOAAAAZHJzL2Uyb0RvYy54bWysU82O0zAQviPxDpbvNGkRS1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j+/MwfAgAAIAQAAA4AAAAAAAAAAAAAAAAALgIAAGRycy9lMm9Eb2MueG1sUEsBAi0AFAAG&#10;AAgAAAAhAHGq0bnXAAAABQEAAA8AAAAAAAAAAAAAAAAAeQQAAGRycy9kb3ducmV2LnhtbFBLBQYA&#10;AAAABAAEAPMAAAB9BQAAAAA=&#10;" o:allowoverlap="f" filled="f" stroked="f" strokeweight=".5pt">
              <v:textbox style="mso-fit-shape-to-text:t" inset="0,0,0,0">
                <w:txbxContent>
                  <w:p w:rsidR="00A106A7" w:rsidRDefault="0081645C">
                    <w:pPr>
                      <w:pStyle w:val="a3"/>
                      <w:rPr>
                        <w:rFonts w:hint="default"/>
                      </w:rPr>
                    </w:pPr>
                    <w:r>
                      <w:t xml:space="preserve"> </w:t>
                    </w:r>
                    <w:r>
                      <w:fldChar w:fldCharType="begin"/>
                    </w:r>
                    <w:r>
                      <w:instrText>PAGE   \* MERGEFORMAT</w:instrText>
                    </w:r>
                    <w:r>
                      <w:fldChar w:fldCharType="separate"/>
                    </w:r>
                    <w:r w:rsidR="000B0DD2" w:rsidRPr="000B0DD2">
                      <w:rPr>
                        <w:rFonts w:hint="default"/>
                        <w:noProof/>
                        <w:lang w:val="zh-CN"/>
                      </w:rPr>
                      <w:t>-</w:t>
                    </w:r>
                    <w:r w:rsidR="000B0DD2">
                      <w:rPr>
                        <w:rFonts w:hint="default"/>
                        <w:noProof/>
                      </w:rPr>
                      <w:t xml:space="preserve"> 21 -</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rsidR="00A106A7" w:rsidRDefault="0081645C">
                          <w:pPr>
                            <w:pStyle w:val="a3"/>
                            <w:jc w:val="both"/>
                            <w:rPr>
                              <w:rFonts w:cs="宋体" w:hint="default"/>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文本框 126" o:spid="_x0000_s1028" type="#_x0000_t202" style="position:absolute;left:0;text-align:left;margin-left:0;margin-top:1160.4pt;width:2in;height:17.4pt;z-index:251659264;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" o:allowoverlap="f" filled="f" stroked="f" strokeweight=".5pt">
              <v:textbox inset="0,0,0,0">
                <w:txbxContent>
                  <w:p w:rsidR="00A106A7" w:rsidRDefault="0081645C">
                    <w:pPr>
                      <w:pStyle w:val="a3"/>
                      <w:jc w:val="both"/>
                      <w:rPr>
                        <w:rFonts w:cs="宋体" w:hint="default"/>
                      </w:rPr>
                    </w:pPr>
                    <w:r>
                      <w:rPr>
                        <w:rFonts w:cs="宋体"/>
                      </w:rPr>
                      <w:t>— 27.1 —</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446D" w:rsidRDefault="009F446D">
      <w:pPr>
        <w:rPr>
          <w:rFonts w:hint="default"/>
        </w:rPr>
      </w:pPr>
      <w:r>
        <w:separator/>
      </w:r>
    </w:p>
  </w:footnote>
  <w:footnote w:type="continuationSeparator" w:id="0">
    <w:p w:rsidR="009F446D" w:rsidRDefault="009F446D">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6A7" w:rsidRDefault="00A106A7">
    <w:pPr>
      <w:pStyle w:val="a4"/>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64"/>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BFBA652D"/>
    <w:rsid w:val="DFF776E8"/>
    <w:rsid w:val="000711A3"/>
    <w:rsid w:val="00087271"/>
    <w:rsid w:val="000A70A6"/>
    <w:rsid w:val="000B0DD2"/>
    <w:rsid w:val="00192D56"/>
    <w:rsid w:val="001B3012"/>
    <w:rsid w:val="005501D1"/>
    <w:rsid w:val="00550ABE"/>
    <w:rsid w:val="00640809"/>
    <w:rsid w:val="006450EE"/>
    <w:rsid w:val="00703FC3"/>
    <w:rsid w:val="007B25B7"/>
    <w:rsid w:val="007B419D"/>
    <w:rsid w:val="0081645C"/>
    <w:rsid w:val="00826C47"/>
    <w:rsid w:val="009B67B8"/>
    <w:rsid w:val="009F446D"/>
    <w:rsid w:val="00A041F5"/>
    <w:rsid w:val="00A106A7"/>
    <w:rsid w:val="00A13DCA"/>
    <w:rsid w:val="00AF37D9"/>
    <w:rsid w:val="00B03CCD"/>
    <w:rsid w:val="00B2349C"/>
    <w:rsid w:val="00CF1A2A"/>
    <w:rsid w:val="00D51FF4"/>
    <w:rsid w:val="00DA488B"/>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8C4686"/>
    <w:rsid w:val="439A3EB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E973B2A"/>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 w:val="7F7A8EF7"/>
    <w:rsid w:val="7FE91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1172381-A20D-483E-8E29-A347410B3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szCs w:val="18"/>
    </w:rPr>
  </w:style>
  <w:style w:type="paragraph" w:styleId="a4">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5">
    <w:name w:val="Normal (Web)"/>
    <w:basedOn w:val="a"/>
    <w:unhideWhenUsed/>
    <w:qFormat/>
    <w:pPr>
      <w:spacing w:before="100" w:beforeAutospacing="1" w:after="100" w:afterAutospacing="1"/>
    </w:p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character" w:customStyle="1" w:styleId="font11">
    <w:name w:val="font11"/>
    <w:qFormat/>
    <w:rPr>
      <w:rFonts w:ascii="宋体" w:eastAsia="宋体" w:hAnsi="宋体" w:cs="宋体" w:hint="eastAsia"/>
      <w:color w:val="000000"/>
      <w:sz w:val="12"/>
      <w:szCs w:val="1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22</Pages>
  <Words>2388</Words>
  <Characters>13617</Characters>
  <Application>Microsoft Office Word</Application>
  <DocSecurity>0</DocSecurity>
  <Lines>113</Lines>
  <Paragraphs>31</Paragraphs>
  <ScaleCrop>false</ScaleCrop>
  <Company>微软中国</Company>
  <LinksUpToDate>false</LinksUpToDate>
  <CharactersWithSpaces>15974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傅春丽</cp:lastModifiedBy>
  <cp:revision>12</cp:revision>
  <dcterms:created xsi:type="dcterms:W3CDTF">2024-07-11T18:00:00Z</dcterms:created>
  <dcterms:modified xsi:type="dcterms:W3CDTF">2025-09-02T06:08:00Z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BB46EABDBB2749749395447164B066B3_12</vt:lpwstr>
  </property>
</Properties>
</file>