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5B95" w:rsidRDefault="00B7689C">
      <w:pPr>
        <w:spacing w:line="579" w:lineRule="exact"/>
        <w:jc w:val="center"/>
        <w:rPr>
          <w:rFonts w:ascii="Times New Roman" w:eastAsia="方正小标宋_GBK" w:hAnsi="Times New Roman" w:hint="default"/>
          <w:sz w:val="44"/>
          <w:szCs w:val="44"/>
        </w:rPr>
      </w:pPr>
      <w:r>
        <w:rPr>
          <w:rFonts w:ascii="Times New Roman" w:eastAsia="方正小标宋_GBK" w:hAnsi="Times New Roman" w:hint="default"/>
          <w:sz w:val="44"/>
          <w:szCs w:val="44"/>
        </w:rPr>
        <w:t>重庆市黔江区物流（口岸）服务中心</w:t>
      </w:r>
    </w:p>
    <w:p w:rsidR="00D05B95" w:rsidRDefault="00B7689C">
      <w:pPr>
        <w:spacing w:line="579" w:lineRule="exact"/>
        <w:jc w:val="center"/>
        <w:rPr>
          <w:rFonts w:ascii="Times New Roman" w:eastAsia="方正小标宋_GBK" w:hAnsi="Times New Roman" w:hint="default"/>
          <w:sz w:val="44"/>
          <w:szCs w:val="44"/>
        </w:rPr>
      </w:pPr>
      <w:r>
        <w:rPr>
          <w:rFonts w:ascii="Times New Roman" w:eastAsia="方正小标宋_GBK" w:hAnsi="Times New Roman" w:hint="default"/>
          <w:sz w:val="44"/>
          <w:szCs w:val="44"/>
        </w:rPr>
        <w:t>2024</w:t>
      </w:r>
      <w:r>
        <w:rPr>
          <w:rFonts w:ascii="Times New Roman" w:eastAsia="方正小标宋_GBK" w:hAnsi="Times New Roman" w:hint="default"/>
          <w:sz w:val="44"/>
          <w:szCs w:val="44"/>
        </w:rPr>
        <w:t>年度决算公开说明</w:t>
      </w:r>
    </w:p>
    <w:p w:rsidR="00D05B95" w:rsidRDefault="00D05B95">
      <w:pPr>
        <w:spacing w:line="579" w:lineRule="exact"/>
        <w:jc w:val="both"/>
        <w:rPr>
          <w:rFonts w:ascii="Times New Roman" w:eastAsia="方正仿宋_GBK" w:hAnsi="Times New Roman" w:hint="default"/>
          <w:sz w:val="32"/>
          <w:szCs w:val="32"/>
        </w:rPr>
      </w:pPr>
    </w:p>
    <w:p w:rsidR="00D05B95" w:rsidRDefault="00B7689C">
      <w:pPr>
        <w:spacing w:line="579" w:lineRule="exact"/>
        <w:ind w:firstLineChars="200" w:firstLine="640"/>
        <w:jc w:val="both"/>
        <w:rPr>
          <w:rFonts w:ascii="Times New Roman" w:eastAsia="方正黑体_GBK" w:hAnsi="Times New Roman" w:hint="default"/>
          <w:sz w:val="32"/>
          <w:szCs w:val="32"/>
        </w:rPr>
      </w:pPr>
      <w:r>
        <w:rPr>
          <w:rFonts w:ascii="Times New Roman" w:eastAsia="方正黑体_GBK" w:hAnsi="Times New Roman" w:hint="default"/>
          <w:sz w:val="32"/>
          <w:szCs w:val="32"/>
        </w:rPr>
        <w:t>一、部门基本情况</w:t>
      </w:r>
    </w:p>
    <w:p w:rsidR="00D05B95" w:rsidRDefault="00B7689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（一）职能职责</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统筹指导口岸和物流发展、运营工作，负责组织实施拟定发展战略、中长期发展规划及年度计划；负责口岸开放、扩大开放和口岸功能拓展工作；负责口岸大通关协调服务工作；统筹优化口岸营商环境，促进跨境贸易便利化；统筹协调水运、航空、铁路、公路等多种运输方式的物流组织、调度、运营、管理工作；统筹推进多式联运发展，提升物流通道互联互通水平；协调培育航空市场和航线，推动航空运营基地发展，协调提升航空运力，推动航空物流产业发展；统筹物流园区、物流分拨中心规划布局和建设协调工作；负责指导口岸和物流标准化、信息化、智能化建设；负责推</w:t>
      </w:r>
      <w:r>
        <w:rPr>
          <w:rFonts w:ascii="Times New Roman" w:eastAsia="方正仿宋_GBK" w:hAnsi="Times New Roman" w:hint="default"/>
          <w:sz w:val="32"/>
          <w:szCs w:val="32"/>
        </w:rPr>
        <w:t>进口岸和物流对外交流合作；做好与有关部门之间的衔接工作。</w:t>
      </w:r>
    </w:p>
    <w:p w:rsidR="00D05B95" w:rsidRDefault="00B7689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（二）机构设置</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重庆市黔江区物流（口岸）服务中心是重庆市黔江区商务委员会直属事业单位（全额拨款事业单位）。</w:t>
      </w:r>
    </w:p>
    <w:p w:rsidR="00D05B95" w:rsidRDefault="00B7689C">
      <w:pPr>
        <w:spacing w:line="579" w:lineRule="exact"/>
        <w:ind w:firstLineChars="200" w:firstLine="640"/>
        <w:jc w:val="both"/>
        <w:rPr>
          <w:rFonts w:ascii="Times New Roman" w:eastAsia="方正黑体_GBK" w:hAnsi="Times New Roman" w:hint="default"/>
          <w:sz w:val="32"/>
          <w:szCs w:val="32"/>
        </w:rPr>
      </w:pPr>
      <w:r>
        <w:rPr>
          <w:rFonts w:ascii="Times New Roman" w:eastAsia="方正黑体_GBK" w:hAnsi="Times New Roman" w:hint="default"/>
          <w:sz w:val="32"/>
          <w:szCs w:val="32"/>
        </w:rPr>
        <w:t>二、部门决算情况说明</w:t>
      </w:r>
    </w:p>
    <w:p w:rsidR="00D05B95" w:rsidRDefault="00B7689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（一）收入支出决算总体情况说明</w:t>
      </w:r>
    </w:p>
    <w:p w:rsidR="00D05B95" w:rsidRDefault="00B7689C">
      <w:pPr>
        <w:spacing w:line="579" w:lineRule="exact"/>
        <w:ind w:firstLineChars="200" w:firstLine="643"/>
        <w:jc w:val="both"/>
        <w:rPr>
          <w:rFonts w:ascii="Times New Roman" w:eastAsia="方正仿宋_GBK" w:hAnsi="Times New Roman" w:hint="default"/>
          <w:sz w:val="32"/>
          <w:szCs w:val="32"/>
        </w:rPr>
      </w:pPr>
      <w:r>
        <w:rPr>
          <w:rFonts w:ascii="Times New Roman" w:eastAsia="方正仿宋_GBK" w:hAnsi="Times New Roman" w:hint="default"/>
          <w:b/>
          <w:sz w:val="32"/>
          <w:szCs w:val="32"/>
        </w:rPr>
        <w:lastRenderedPageBreak/>
        <w:t>1.</w:t>
      </w:r>
      <w:r>
        <w:rPr>
          <w:rFonts w:ascii="Times New Roman" w:eastAsia="方正仿宋_GBK" w:hAnsi="Times New Roman" w:hint="default"/>
          <w:b/>
          <w:sz w:val="32"/>
          <w:szCs w:val="32"/>
        </w:rPr>
        <w:t>总体情况。</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年度收入总计</w:t>
      </w:r>
      <w:r>
        <w:rPr>
          <w:rFonts w:ascii="Times New Roman" w:eastAsia="方正仿宋_GBK" w:hAnsi="Times New Roman" w:hint="default"/>
          <w:sz w:val="32"/>
          <w:szCs w:val="32"/>
        </w:rPr>
        <w:t>78.66</w:t>
      </w:r>
      <w:r>
        <w:rPr>
          <w:rFonts w:ascii="Times New Roman" w:eastAsia="方正仿宋_GBK" w:hAnsi="Times New Roman" w:hint="default"/>
          <w:sz w:val="32"/>
          <w:szCs w:val="32"/>
        </w:rPr>
        <w:t>万元，支出总计</w:t>
      </w:r>
      <w:r>
        <w:rPr>
          <w:rFonts w:ascii="Times New Roman" w:eastAsia="方正仿宋_GBK" w:hAnsi="Times New Roman" w:hint="default"/>
          <w:sz w:val="32"/>
          <w:szCs w:val="32"/>
        </w:rPr>
        <w:t>78.66</w:t>
      </w:r>
      <w:r>
        <w:rPr>
          <w:rFonts w:ascii="Times New Roman" w:eastAsia="方正仿宋_GBK" w:hAnsi="Times New Roman" w:hint="default"/>
          <w:sz w:val="32"/>
          <w:szCs w:val="32"/>
        </w:rPr>
        <w:t>万元。收、支与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年度相比，增加</w:t>
      </w:r>
      <w:r>
        <w:rPr>
          <w:rFonts w:ascii="Times New Roman" w:eastAsia="方正仿宋_GBK" w:hAnsi="Times New Roman" w:hint="default"/>
          <w:sz w:val="32"/>
          <w:szCs w:val="32"/>
        </w:rPr>
        <w:t>6.00</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8.3%</w:t>
      </w:r>
      <w:r>
        <w:rPr>
          <w:rFonts w:ascii="Times New Roman" w:eastAsia="方正仿宋_GBK" w:hAnsi="Times New Roman" w:hint="default"/>
          <w:sz w:val="32"/>
          <w:szCs w:val="32"/>
        </w:rPr>
        <w:t>，主要原因是人员工资调整及社保费用支出增加。</w:t>
      </w:r>
    </w:p>
    <w:p w:rsidR="00D05B95" w:rsidRDefault="00B7689C">
      <w:pPr>
        <w:spacing w:line="579" w:lineRule="exact"/>
        <w:ind w:firstLineChars="200" w:firstLine="643"/>
        <w:jc w:val="both"/>
        <w:rPr>
          <w:rFonts w:ascii="Times New Roman" w:eastAsia="方正仿宋_GBK" w:hAnsi="Times New Roman" w:hint="default"/>
          <w:sz w:val="32"/>
          <w:szCs w:val="32"/>
        </w:rPr>
      </w:pPr>
      <w:r>
        <w:rPr>
          <w:rFonts w:ascii="Times New Roman" w:eastAsia="方正仿宋_GBK" w:hAnsi="Times New Roman" w:hint="default"/>
          <w:b/>
          <w:sz w:val="32"/>
          <w:szCs w:val="32"/>
        </w:rPr>
        <w:t>2.</w:t>
      </w:r>
      <w:r>
        <w:rPr>
          <w:rFonts w:ascii="Times New Roman" w:eastAsia="方正仿宋_GBK" w:hAnsi="Times New Roman" w:hint="default"/>
          <w:b/>
          <w:sz w:val="32"/>
          <w:szCs w:val="32"/>
        </w:rPr>
        <w:t>收入情况。</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年度收入合计</w:t>
      </w:r>
      <w:r>
        <w:rPr>
          <w:rFonts w:ascii="Times New Roman" w:eastAsia="方正仿宋_GBK" w:hAnsi="Times New Roman" w:hint="default"/>
          <w:sz w:val="32"/>
          <w:szCs w:val="32"/>
        </w:rPr>
        <w:t>78.66</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年度相比，增加</w:t>
      </w:r>
      <w:r>
        <w:rPr>
          <w:rFonts w:ascii="Times New Roman" w:eastAsia="方正仿宋_GBK" w:hAnsi="Times New Roman" w:hint="default"/>
          <w:sz w:val="32"/>
          <w:szCs w:val="32"/>
        </w:rPr>
        <w:t>6.00</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8.3%</w:t>
      </w:r>
      <w:r>
        <w:rPr>
          <w:rFonts w:ascii="Times New Roman" w:eastAsia="方正仿宋_GBK" w:hAnsi="Times New Roman" w:hint="default"/>
          <w:sz w:val="32"/>
          <w:szCs w:val="32"/>
        </w:rPr>
        <w:t>，主要原因是人员</w:t>
      </w:r>
      <w:r>
        <w:rPr>
          <w:rFonts w:ascii="Times New Roman" w:eastAsia="方正仿宋_GBK" w:hAnsi="Times New Roman" w:hint="default"/>
          <w:sz w:val="32"/>
          <w:szCs w:val="32"/>
        </w:rPr>
        <w:t>工资调整及社保费用支出增加。其中：财政拨款收入</w:t>
      </w:r>
      <w:r>
        <w:rPr>
          <w:rFonts w:ascii="Times New Roman" w:eastAsia="方正仿宋_GBK" w:hAnsi="Times New Roman" w:hint="default"/>
          <w:sz w:val="32"/>
          <w:szCs w:val="32"/>
        </w:rPr>
        <w:t>78.66</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100.00%</w:t>
      </w:r>
      <w:r>
        <w:rPr>
          <w:rFonts w:ascii="Times New Roman" w:eastAsia="方正仿宋_GBK" w:hAnsi="Times New Roman" w:hint="default"/>
          <w:sz w:val="32"/>
          <w:szCs w:val="32"/>
        </w:rPr>
        <w:t>；事业收入</w:t>
      </w:r>
      <w:r>
        <w:rPr>
          <w:rFonts w:ascii="Times New Roman" w:eastAsia="方正仿宋_GBK" w:hAnsi="Times New Roman" w:hint="default"/>
          <w:sz w:val="32"/>
          <w:szCs w:val="32"/>
        </w:rPr>
        <w:t>0.00</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0.00%</w:t>
      </w:r>
      <w:r>
        <w:rPr>
          <w:rFonts w:ascii="Times New Roman" w:eastAsia="方正仿宋_GBK" w:hAnsi="Times New Roman" w:hint="default"/>
          <w:sz w:val="32"/>
          <w:szCs w:val="32"/>
        </w:rPr>
        <w:t>；经营收入</w:t>
      </w:r>
      <w:r>
        <w:rPr>
          <w:rFonts w:ascii="Times New Roman" w:eastAsia="方正仿宋_GBK" w:hAnsi="Times New Roman" w:hint="default"/>
          <w:sz w:val="32"/>
          <w:szCs w:val="32"/>
        </w:rPr>
        <w:t>0.00</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0.00%</w:t>
      </w:r>
      <w:r>
        <w:rPr>
          <w:rFonts w:ascii="Times New Roman" w:eastAsia="方正仿宋_GBK" w:hAnsi="Times New Roman" w:hint="default"/>
          <w:sz w:val="32"/>
          <w:szCs w:val="32"/>
        </w:rPr>
        <w:t>；其他收入</w:t>
      </w:r>
      <w:r>
        <w:rPr>
          <w:rFonts w:ascii="Times New Roman" w:eastAsia="方正仿宋_GBK" w:hAnsi="Times New Roman" w:hint="default"/>
          <w:sz w:val="32"/>
          <w:szCs w:val="32"/>
        </w:rPr>
        <w:t>0.00</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0.00%</w:t>
      </w:r>
      <w:r>
        <w:rPr>
          <w:rFonts w:ascii="Times New Roman" w:eastAsia="方正仿宋_GBK" w:hAnsi="Times New Roman" w:hint="default"/>
          <w:sz w:val="32"/>
          <w:szCs w:val="32"/>
        </w:rPr>
        <w:t>。此外，使用非财政拨款结余和专用结余</w:t>
      </w:r>
      <w:r>
        <w:rPr>
          <w:rFonts w:ascii="Times New Roman" w:eastAsia="方正仿宋_GBK" w:hAnsi="Times New Roman" w:hint="default"/>
          <w:sz w:val="32"/>
          <w:szCs w:val="32"/>
        </w:rPr>
        <w:t>0.00</w:t>
      </w:r>
      <w:r>
        <w:rPr>
          <w:rFonts w:ascii="Times New Roman" w:eastAsia="方正仿宋_GBK" w:hAnsi="Times New Roman" w:hint="default"/>
          <w:sz w:val="32"/>
          <w:szCs w:val="32"/>
        </w:rPr>
        <w:t>万元，年初结转和结余</w:t>
      </w:r>
      <w:r>
        <w:rPr>
          <w:rFonts w:ascii="Times New Roman" w:eastAsia="方正仿宋_GBK" w:hAnsi="Times New Roman" w:hint="default"/>
          <w:sz w:val="32"/>
          <w:szCs w:val="32"/>
        </w:rPr>
        <w:t>0.00</w:t>
      </w:r>
      <w:r>
        <w:rPr>
          <w:rFonts w:ascii="Times New Roman" w:eastAsia="方正仿宋_GBK" w:hAnsi="Times New Roman" w:hint="default"/>
          <w:sz w:val="32"/>
          <w:szCs w:val="32"/>
        </w:rPr>
        <w:t>万元。</w:t>
      </w:r>
    </w:p>
    <w:p w:rsidR="00D05B95" w:rsidRDefault="00B7689C">
      <w:pPr>
        <w:spacing w:line="579" w:lineRule="exact"/>
        <w:ind w:firstLineChars="200" w:firstLine="643"/>
        <w:jc w:val="both"/>
        <w:rPr>
          <w:rFonts w:ascii="Times New Roman" w:eastAsia="方正仿宋_GBK" w:hAnsi="Times New Roman" w:hint="default"/>
          <w:sz w:val="32"/>
          <w:szCs w:val="32"/>
        </w:rPr>
      </w:pPr>
      <w:r>
        <w:rPr>
          <w:rFonts w:ascii="Times New Roman" w:eastAsia="方正仿宋_GBK" w:hAnsi="Times New Roman" w:hint="default"/>
          <w:b/>
          <w:sz w:val="32"/>
          <w:szCs w:val="32"/>
        </w:rPr>
        <w:t>3.</w:t>
      </w:r>
      <w:r>
        <w:rPr>
          <w:rFonts w:ascii="Times New Roman" w:eastAsia="方正仿宋_GBK" w:hAnsi="Times New Roman" w:hint="default"/>
          <w:b/>
          <w:sz w:val="32"/>
          <w:szCs w:val="32"/>
        </w:rPr>
        <w:t>支出情况。</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年度支出合计</w:t>
      </w:r>
      <w:r>
        <w:rPr>
          <w:rFonts w:ascii="Times New Roman" w:eastAsia="方正仿宋_GBK" w:hAnsi="Times New Roman" w:hint="default"/>
          <w:sz w:val="32"/>
          <w:szCs w:val="32"/>
        </w:rPr>
        <w:t>78.66</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年度相比，增加</w:t>
      </w:r>
      <w:r>
        <w:rPr>
          <w:rFonts w:ascii="Times New Roman" w:eastAsia="方正仿宋_GBK" w:hAnsi="Times New Roman" w:hint="default"/>
          <w:sz w:val="32"/>
          <w:szCs w:val="32"/>
        </w:rPr>
        <w:t>6.00</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8.3%</w:t>
      </w:r>
      <w:r>
        <w:rPr>
          <w:rFonts w:ascii="Times New Roman" w:eastAsia="方正仿宋_GBK" w:hAnsi="Times New Roman" w:hint="default"/>
          <w:sz w:val="32"/>
          <w:szCs w:val="32"/>
        </w:rPr>
        <w:t>，主要原因是人员工资调整及社保费用支出增加。其中：基本支出</w:t>
      </w:r>
      <w:r>
        <w:rPr>
          <w:rFonts w:ascii="Times New Roman" w:eastAsia="方正仿宋_GBK" w:hAnsi="Times New Roman" w:hint="default"/>
          <w:sz w:val="32"/>
          <w:szCs w:val="32"/>
        </w:rPr>
        <w:t>77.76</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98.86%</w:t>
      </w:r>
      <w:r>
        <w:rPr>
          <w:rFonts w:ascii="Times New Roman" w:eastAsia="方正仿宋_GBK" w:hAnsi="Times New Roman" w:hint="default"/>
          <w:sz w:val="32"/>
          <w:szCs w:val="32"/>
        </w:rPr>
        <w:t>；项目支出</w:t>
      </w:r>
      <w:r>
        <w:rPr>
          <w:rFonts w:ascii="Times New Roman" w:eastAsia="方正仿宋_GBK" w:hAnsi="Times New Roman" w:hint="default"/>
          <w:sz w:val="32"/>
          <w:szCs w:val="32"/>
        </w:rPr>
        <w:t>0.90</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1.14%</w:t>
      </w:r>
      <w:r>
        <w:rPr>
          <w:rFonts w:ascii="Times New Roman" w:eastAsia="方正仿宋_GBK" w:hAnsi="Times New Roman" w:hint="default"/>
          <w:sz w:val="32"/>
          <w:szCs w:val="32"/>
        </w:rPr>
        <w:t>；经营支出</w:t>
      </w:r>
      <w:r>
        <w:rPr>
          <w:rFonts w:ascii="Times New Roman" w:eastAsia="方正仿宋_GBK" w:hAnsi="Times New Roman" w:hint="default"/>
          <w:sz w:val="32"/>
          <w:szCs w:val="32"/>
        </w:rPr>
        <w:t>0.00</w:t>
      </w:r>
      <w:r>
        <w:rPr>
          <w:rFonts w:ascii="Times New Roman" w:eastAsia="方正仿宋_GBK" w:hAnsi="Times New Roman" w:hint="default"/>
          <w:sz w:val="32"/>
          <w:szCs w:val="32"/>
        </w:rPr>
        <w:t>万元</w:t>
      </w:r>
      <w:r>
        <w:rPr>
          <w:rFonts w:ascii="Times New Roman" w:eastAsia="方正仿宋_GBK" w:hAnsi="Times New Roman" w:hint="default"/>
          <w:sz w:val="32"/>
          <w:szCs w:val="32"/>
        </w:rPr>
        <w:t>，占</w:t>
      </w:r>
      <w:r>
        <w:rPr>
          <w:rFonts w:ascii="Times New Roman" w:eastAsia="方正仿宋_GBK" w:hAnsi="Times New Roman" w:hint="default"/>
          <w:sz w:val="32"/>
          <w:szCs w:val="32"/>
        </w:rPr>
        <w:t>0.00%</w:t>
      </w:r>
      <w:r>
        <w:rPr>
          <w:rFonts w:ascii="Times New Roman" w:eastAsia="方正仿宋_GBK" w:hAnsi="Times New Roman" w:hint="default"/>
          <w:sz w:val="32"/>
          <w:szCs w:val="32"/>
        </w:rPr>
        <w:t>。此外，结余分配</w:t>
      </w:r>
      <w:r>
        <w:rPr>
          <w:rFonts w:ascii="Times New Roman" w:eastAsia="方正仿宋_GBK" w:hAnsi="Times New Roman" w:hint="default"/>
          <w:sz w:val="32"/>
          <w:szCs w:val="32"/>
        </w:rPr>
        <w:t>0.00</w:t>
      </w:r>
      <w:r>
        <w:rPr>
          <w:rFonts w:ascii="Times New Roman" w:eastAsia="方正仿宋_GBK" w:hAnsi="Times New Roman" w:hint="default"/>
          <w:sz w:val="32"/>
          <w:szCs w:val="32"/>
        </w:rPr>
        <w:t>万元。</w:t>
      </w:r>
    </w:p>
    <w:p w:rsidR="00D05B95" w:rsidRDefault="00B7689C">
      <w:pPr>
        <w:spacing w:line="579" w:lineRule="exact"/>
        <w:ind w:firstLineChars="200" w:firstLine="643"/>
        <w:jc w:val="both"/>
        <w:rPr>
          <w:rFonts w:ascii="Times New Roman" w:eastAsia="方正仿宋_GBK" w:hAnsi="Times New Roman" w:hint="default"/>
          <w:sz w:val="32"/>
          <w:szCs w:val="32"/>
        </w:rPr>
      </w:pPr>
      <w:r>
        <w:rPr>
          <w:rFonts w:ascii="Times New Roman" w:eastAsia="方正仿宋_GBK" w:hAnsi="Times New Roman" w:hint="default"/>
          <w:b/>
          <w:sz w:val="32"/>
          <w:szCs w:val="32"/>
        </w:rPr>
        <w:t>4.</w:t>
      </w:r>
      <w:r>
        <w:rPr>
          <w:rFonts w:ascii="Times New Roman" w:eastAsia="方正仿宋_GBK" w:hAnsi="Times New Roman" w:hint="default"/>
          <w:b/>
          <w:sz w:val="32"/>
          <w:szCs w:val="32"/>
        </w:rPr>
        <w:t>结转结余情况。</w:t>
      </w:r>
      <w:r>
        <w:rPr>
          <w:rFonts w:ascii="Times New Roman" w:eastAsia="方正仿宋_GBK" w:hAnsi="Times New Roman"/>
          <w:sz w:val="32"/>
          <w:szCs w:val="32"/>
        </w:rPr>
        <w:t>无</w:t>
      </w:r>
    </w:p>
    <w:p w:rsidR="00D05B95" w:rsidRDefault="00B7689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（二）财政拨款收入支出决算总体情况说明</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2024</w:t>
      </w:r>
      <w:r>
        <w:rPr>
          <w:rFonts w:ascii="Times New Roman" w:eastAsia="方正仿宋_GBK" w:hAnsi="Times New Roman" w:hint="default"/>
          <w:sz w:val="32"/>
          <w:szCs w:val="32"/>
        </w:rPr>
        <w:t>年度财政拨款收、支总计</w:t>
      </w:r>
      <w:r>
        <w:rPr>
          <w:rFonts w:ascii="Times New Roman" w:eastAsia="方正仿宋_GBK" w:hAnsi="Times New Roman" w:hint="default"/>
          <w:sz w:val="32"/>
          <w:szCs w:val="32"/>
        </w:rPr>
        <w:t>78.66</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年相比，财政拨款收、支总计各增加</w:t>
      </w:r>
      <w:r>
        <w:rPr>
          <w:rFonts w:ascii="Times New Roman" w:eastAsia="方正仿宋_GBK" w:hAnsi="Times New Roman" w:hint="default"/>
          <w:sz w:val="32"/>
          <w:szCs w:val="32"/>
        </w:rPr>
        <w:t>6.00</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8.3%</w:t>
      </w:r>
      <w:r>
        <w:rPr>
          <w:rFonts w:ascii="Times New Roman" w:eastAsia="方正仿宋_GBK" w:hAnsi="Times New Roman" w:hint="default"/>
          <w:sz w:val="32"/>
          <w:szCs w:val="32"/>
        </w:rPr>
        <w:t>。主要原因是人员工资调整及社保费用支出增加。</w:t>
      </w:r>
    </w:p>
    <w:p w:rsidR="00D05B95" w:rsidRDefault="00B7689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（三）一般公共预算财政拨款收入支出决算情况说明</w:t>
      </w:r>
    </w:p>
    <w:p w:rsidR="00D05B95" w:rsidRDefault="00B7689C">
      <w:pPr>
        <w:spacing w:line="579" w:lineRule="exact"/>
        <w:ind w:firstLineChars="200" w:firstLine="643"/>
        <w:jc w:val="both"/>
        <w:rPr>
          <w:rFonts w:ascii="Times New Roman" w:eastAsia="方正仿宋_GBK" w:hAnsi="Times New Roman" w:hint="default"/>
          <w:sz w:val="32"/>
          <w:szCs w:val="32"/>
        </w:rPr>
      </w:pPr>
      <w:r>
        <w:rPr>
          <w:rFonts w:ascii="Times New Roman" w:eastAsia="方正仿宋_GBK" w:hAnsi="Times New Roman" w:hint="default"/>
          <w:b/>
          <w:sz w:val="32"/>
          <w:szCs w:val="32"/>
        </w:rPr>
        <w:t>1.</w:t>
      </w:r>
      <w:r>
        <w:rPr>
          <w:rFonts w:ascii="Times New Roman" w:eastAsia="方正仿宋_GBK" w:hAnsi="Times New Roman" w:hint="default"/>
          <w:b/>
          <w:sz w:val="32"/>
          <w:szCs w:val="32"/>
        </w:rPr>
        <w:t>收入情况。</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年度一般公共预算财政拨款收入</w:t>
      </w:r>
      <w:r>
        <w:rPr>
          <w:rFonts w:ascii="Times New Roman" w:eastAsia="方正仿宋_GBK" w:hAnsi="Times New Roman" w:hint="default"/>
          <w:sz w:val="32"/>
          <w:szCs w:val="32"/>
        </w:rPr>
        <w:t>78.66</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年度相比，增加</w:t>
      </w:r>
      <w:r>
        <w:rPr>
          <w:rFonts w:ascii="Times New Roman" w:eastAsia="方正仿宋_GBK" w:hAnsi="Times New Roman" w:hint="default"/>
          <w:sz w:val="32"/>
          <w:szCs w:val="32"/>
        </w:rPr>
        <w:t>6.00</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8.3%</w:t>
      </w:r>
      <w:r>
        <w:rPr>
          <w:rFonts w:ascii="Times New Roman" w:eastAsia="方正仿宋_GBK" w:hAnsi="Times New Roman" w:hint="default"/>
          <w:sz w:val="32"/>
          <w:szCs w:val="32"/>
        </w:rPr>
        <w:t>。主要原因是</w:t>
      </w:r>
      <w:r>
        <w:rPr>
          <w:rFonts w:ascii="Times New Roman" w:eastAsia="方正仿宋_GBK" w:hAnsi="Times New Roman" w:hint="default"/>
          <w:sz w:val="32"/>
          <w:szCs w:val="32"/>
        </w:rPr>
        <w:lastRenderedPageBreak/>
        <w:t>人员工资调整及社保费用支出增加。较年初预算数增加</w:t>
      </w:r>
      <w:r>
        <w:rPr>
          <w:rFonts w:ascii="Times New Roman" w:eastAsia="方正仿宋_GBK" w:hAnsi="Times New Roman" w:hint="default"/>
          <w:sz w:val="32"/>
          <w:szCs w:val="32"/>
        </w:rPr>
        <w:t>6.41</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8</w:t>
      </w:r>
      <w:r>
        <w:rPr>
          <w:rFonts w:ascii="Times New Roman" w:eastAsia="方正仿宋_GBK" w:hAnsi="Times New Roman" w:hint="default"/>
          <w:sz w:val="32"/>
          <w:szCs w:val="32"/>
        </w:rPr>
        <w:t>.9%</w:t>
      </w:r>
      <w:r>
        <w:rPr>
          <w:rFonts w:ascii="Times New Roman" w:eastAsia="方正仿宋_GBK" w:hAnsi="Times New Roman" w:hint="default"/>
          <w:sz w:val="32"/>
          <w:szCs w:val="32"/>
        </w:rPr>
        <w:t>。主要原因是年中财政预算增加，为事业人员超额绩效及工资调整支出。此外，年初财政拨款结转和结余</w:t>
      </w:r>
      <w:r>
        <w:rPr>
          <w:rFonts w:ascii="Times New Roman" w:eastAsia="方正仿宋_GBK" w:hAnsi="Times New Roman" w:hint="default"/>
          <w:sz w:val="32"/>
          <w:szCs w:val="32"/>
        </w:rPr>
        <w:t>0.00</w:t>
      </w:r>
      <w:r>
        <w:rPr>
          <w:rFonts w:ascii="Times New Roman" w:eastAsia="方正仿宋_GBK" w:hAnsi="Times New Roman" w:hint="default"/>
          <w:sz w:val="32"/>
          <w:szCs w:val="32"/>
        </w:rPr>
        <w:t>万元。</w:t>
      </w:r>
    </w:p>
    <w:p w:rsidR="00D05B95" w:rsidRDefault="00B7689C">
      <w:pPr>
        <w:spacing w:line="579" w:lineRule="exact"/>
        <w:ind w:firstLineChars="200" w:firstLine="643"/>
        <w:jc w:val="both"/>
        <w:rPr>
          <w:rFonts w:ascii="Times New Roman" w:eastAsia="方正仿宋_GBK" w:hAnsi="Times New Roman" w:hint="default"/>
          <w:sz w:val="32"/>
          <w:szCs w:val="32"/>
        </w:rPr>
      </w:pPr>
      <w:r>
        <w:rPr>
          <w:rFonts w:ascii="Times New Roman" w:eastAsia="方正仿宋_GBK" w:hAnsi="Times New Roman" w:hint="default"/>
          <w:b/>
          <w:sz w:val="32"/>
          <w:szCs w:val="32"/>
        </w:rPr>
        <w:t>2.</w:t>
      </w:r>
      <w:r>
        <w:rPr>
          <w:rFonts w:ascii="Times New Roman" w:eastAsia="方正仿宋_GBK" w:hAnsi="Times New Roman" w:hint="default"/>
          <w:b/>
          <w:sz w:val="32"/>
          <w:szCs w:val="32"/>
        </w:rPr>
        <w:t>支出情况。</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年度一般公共预算财政拨款支出</w:t>
      </w:r>
      <w:r>
        <w:rPr>
          <w:rFonts w:ascii="Times New Roman" w:eastAsia="方正仿宋_GBK" w:hAnsi="Times New Roman" w:hint="default"/>
          <w:sz w:val="32"/>
          <w:szCs w:val="32"/>
        </w:rPr>
        <w:t>78.66</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年度相比，增加</w:t>
      </w:r>
      <w:r>
        <w:rPr>
          <w:rFonts w:ascii="Times New Roman" w:eastAsia="方正仿宋_GBK" w:hAnsi="Times New Roman" w:hint="default"/>
          <w:sz w:val="32"/>
          <w:szCs w:val="32"/>
        </w:rPr>
        <w:t>6.00</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8.3%</w:t>
      </w:r>
      <w:r>
        <w:rPr>
          <w:rFonts w:ascii="Times New Roman" w:eastAsia="方正仿宋_GBK" w:hAnsi="Times New Roman" w:hint="default"/>
          <w:sz w:val="32"/>
          <w:szCs w:val="32"/>
        </w:rPr>
        <w:t>。主要原因是人员工资调整及社保费用支出增加。较年初预算数增加</w:t>
      </w:r>
      <w:r>
        <w:rPr>
          <w:rFonts w:ascii="Times New Roman" w:eastAsia="方正仿宋_GBK" w:hAnsi="Times New Roman" w:hint="default"/>
          <w:sz w:val="32"/>
          <w:szCs w:val="32"/>
        </w:rPr>
        <w:t>6.41</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8.9%</w:t>
      </w:r>
      <w:r>
        <w:rPr>
          <w:rFonts w:ascii="Times New Roman" w:eastAsia="方正仿宋_GBK" w:hAnsi="Times New Roman" w:hint="default"/>
          <w:sz w:val="32"/>
          <w:szCs w:val="32"/>
        </w:rPr>
        <w:t>。主要原因是年中财政预算增加，为事业人员超额绩效及工资调整支出。</w:t>
      </w:r>
    </w:p>
    <w:p w:rsidR="00D05B95" w:rsidRDefault="00B7689C">
      <w:pPr>
        <w:spacing w:line="579" w:lineRule="exact"/>
        <w:ind w:firstLineChars="200" w:firstLine="643"/>
        <w:jc w:val="both"/>
        <w:rPr>
          <w:rFonts w:ascii="Times New Roman" w:eastAsia="方正仿宋_GBK" w:hAnsi="Times New Roman" w:hint="default"/>
          <w:sz w:val="32"/>
          <w:szCs w:val="32"/>
        </w:rPr>
      </w:pPr>
      <w:r>
        <w:rPr>
          <w:rFonts w:ascii="Times New Roman" w:eastAsia="方正仿宋_GBK" w:hAnsi="Times New Roman" w:hint="default"/>
          <w:b/>
          <w:sz w:val="32"/>
          <w:szCs w:val="32"/>
        </w:rPr>
        <w:t>3.</w:t>
      </w:r>
      <w:r>
        <w:rPr>
          <w:rFonts w:ascii="Times New Roman" w:eastAsia="方正仿宋_GBK" w:hAnsi="Times New Roman" w:hint="default"/>
          <w:b/>
          <w:sz w:val="32"/>
          <w:szCs w:val="32"/>
        </w:rPr>
        <w:t>结转结余情况。</w:t>
      </w:r>
      <w:r>
        <w:rPr>
          <w:rFonts w:ascii="Times New Roman" w:eastAsia="方正仿宋_GBK" w:hAnsi="Times New Roman"/>
          <w:sz w:val="32"/>
          <w:szCs w:val="32"/>
        </w:rPr>
        <w:t>无</w:t>
      </w:r>
    </w:p>
    <w:p w:rsidR="00D05B95" w:rsidRDefault="00B7689C">
      <w:pPr>
        <w:spacing w:line="579" w:lineRule="exact"/>
        <w:ind w:firstLineChars="200" w:firstLine="643"/>
        <w:jc w:val="both"/>
        <w:rPr>
          <w:rFonts w:ascii="Times New Roman" w:eastAsia="方正仿宋_GBK" w:hAnsi="Times New Roman" w:hint="default"/>
          <w:sz w:val="32"/>
          <w:szCs w:val="32"/>
          <w:highlight w:val="cyan"/>
        </w:rPr>
      </w:pPr>
      <w:r>
        <w:rPr>
          <w:rFonts w:ascii="Times New Roman" w:eastAsia="方正仿宋_GBK" w:hAnsi="Times New Roman" w:hint="default"/>
          <w:b/>
          <w:sz w:val="32"/>
          <w:szCs w:val="32"/>
        </w:rPr>
        <w:t>4.</w:t>
      </w:r>
      <w:r>
        <w:rPr>
          <w:rFonts w:ascii="Times New Roman" w:eastAsia="方正仿宋_GBK" w:hAnsi="Times New Roman" w:hint="default"/>
          <w:b/>
          <w:sz w:val="32"/>
          <w:szCs w:val="32"/>
        </w:rPr>
        <w:t>比较情况。</w:t>
      </w:r>
      <w:r>
        <w:rPr>
          <w:rFonts w:ascii="Times New Roman" w:eastAsia="方正仿宋_GBK" w:hAnsi="Times New Roman" w:hint="default"/>
          <w:sz w:val="32"/>
          <w:szCs w:val="32"/>
        </w:rPr>
        <w:t>本部门</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年度一般公共预算财政拨款支出主要用于以下几个方面：</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w:t>
      </w:r>
      <w:r>
        <w:rPr>
          <w:rFonts w:ascii="Times New Roman" w:eastAsia="方正仿宋_GBK" w:hAnsi="Times New Roman" w:hint="default"/>
          <w:sz w:val="32"/>
          <w:szCs w:val="32"/>
        </w:rPr>
        <w:t>1</w:t>
      </w:r>
      <w:r>
        <w:rPr>
          <w:rFonts w:ascii="Times New Roman" w:eastAsia="方正仿宋_GBK" w:hAnsi="Times New Roman" w:hint="default"/>
          <w:sz w:val="32"/>
          <w:szCs w:val="32"/>
        </w:rPr>
        <w:t>）一般公共服务支出</w:t>
      </w:r>
      <w:r>
        <w:rPr>
          <w:rFonts w:ascii="Times New Roman" w:eastAsia="方正仿宋_GBK" w:hAnsi="Times New Roman" w:hint="default"/>
          <w:sz w:val="32"/>
          <w:szCs w:val="32"/>
        </w:rPr>
        <w:t>59.11</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75.15%</w:t>
      </w:r>
      <w:r>
        <w:rPr>
          <w:rFonts w:ascii="Times New Roman" w:eastAsia="方正仿宋_GBK" w:hAnsi="Times New Roman" w:hint="default"/>
          <w:sz w:val="32"/>
          <w:szCs w:val="32"/>
        </w:rPr>
        <w:t>，较年初预算数增加</w:t>
      </w:r>
      <w:r>
        <w:rPr>
          <w:rFonts w:ascii="Times New Roman" w:eastAsia="方正仿宋_GBK" w:hAnsi="Times New Roman" w:hint="default"/>
          <w:sz w:val="32"/>
          <w:szCs w:val="32"/>
        </w:rPr>
        <w:t>1.90</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3.3%</w:t>
      </w:r>
      <w:r>
        <w:rPr>
          <w:rFonts w:ascii="Times New Roman" w:eastAsia="方正仿宋_GBK" w:hAnsi="Times New Roman" w:hint="default"/>
          <w:sz w:val="32"/>
          <w:szCs w:val="32"/>
        </w:rPr>
        <w:t>，主要原因是人员工资调标。</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w:t>
      </w:r>
      <w:r>
        <w:rPr>
          <w:rFonts w:ascii="Times New Roman" w:eastAsia="方正仿宋_GBK" w:hAnsi="Times New Roman" w:hint="default"/>
          <w:sz w:val="32"/>
          <w:szCs w:val="32"/>
        </w:rPr>
        <w:t>2</w:t>
      </w:r>
      <w:r>
        <w:rPr>
          <w:rFonts w:ascii="Times New Roman" w:eastAsia="方正仿宋_GBK" w:hAnsi="Times New Roman" w:hint="default"/>
          <w:sz w:val="32"/>
          <w:szCs w:val="32"/>
        </w:rPr>
        <w:t>）社会保障与就业支出</w:t>
      </w:r>
      <w:r>
        <w:rPr>
          <w:rFonts w:ascii="Times New Roman" w:eastAsia="方正仿宋_GBK" w:hAnsi="Times New Roman" w:hint="default"/>
          <w:sz w:val="32"/>
          <w:szCs w:val="32"/>
        </w:rPr>
        <w:t>11.85</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15.06%</w:t>
      </w:r>
      <w:r>
        <w:rPr>
          <w:rFonts w:ascii="Times New Roman" w:eastAsia="方正仿宋_GBK" w:hAnsi="Times New Roman" w:hint="default"/>
          <w:sz w:val="32"/>
          <w:szCs w:val="32"/>
        </w:rPr>
        <w:t>，较年初预算数增加</w:t>
      </w:r>
      <w:r>
        <w:rPr>
          <w:rFonts w:ascii="Times New Roman" w:eastAsia="方正仿宋_GBK" w:hAnsi="Times New Roman" w:hint="default"/>
          <w:sz w:val="32"/>
          <w:szCs w:val="32"/>
        </w:rPr>
        <w:t>4.50</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61.2%</w:t>
      </w:r>
      <w:r>
        <w:rPr>
          <w:rFonts w:ascii="Times New Roman" w:eastAsia="方正仿宋_GBK" w:hAnsi="Times New Roman" w:hint="default"/>
          <w:sz w:val="32"/>
          <w:szCs w:val="32"/>
        </w:rPr>
        <w:t>，主要原因是社保缴费基数调整。</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w:t>
      </w:r>
      <w:r>
        <w:rPr>
          <w:rFonts w:ascii="Times New Roman" w:eastAsia="方正仿宋_GBK" w:hAnsi="Times New Roman" w:hint="default"/>
          <w:sz w:val="32"/>
          <w:szCs w:val="32"/>
        </w:rPr>
        <w:t>3</w:t>
      </w:r>
      <w:r>
        <w:rPr>
          <w:rFonts w:ascii="Times New Roman" w:eastAsia="方正仿宋_GBK" w:hAnsi="Times New Roman" w:hint="default"/>
          <w:sz w:val="32"/>
          <w:szCs w:val="32"/>
        </w:rPr>
        <w:t>）卫生健康支出</w:t>
      </w:r>
      <w:r>
        <w:rPr>
          <w:rFonts w:ascii="Times New Roman" w:eastAsia="方正仿宋_GBK" w:hAnsi="Times New Roman" w:hint="default"/>
          <w:sz w:val="32"/>
          <w:szCs w:val="32"/>
        </w:rPr>
        <w:t>4.02</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5.11%</w:t>
      </w:r>
      <w:r>
        <w:rPr>
          <w:rFonts w:ascii="Times New Roman" w:eastAsia="方正仿宋_GBK" w:hAnsi="Times New Roman" w:hint="default"/>
          <w:sz w:val="32"/>
          <w:szCs w:val="32"/>
        </w:rPr>
        <w:t>，较年初预算数无增减。</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w:t>
      </w:r>
      <w:r>
        <w:rPr>
          <w:rFonts w:ascii="Times New Roman" w:eastAsia="方正仿宋_GBK" w:hAnsi="Times New Roman" w:hint="default"/>
          <w:sz w:val="32"/>
          <w:szCs w:val="32"/>
        </w:rPr>
        <w:t>4</w:t>
      </w:r>
      <w:r>
        <w:rPr>
          <w:rFonts w:ascii="Times New Roman" w:eastAsia="方正仿宋_GBK" w:hAnsi="Times New Roman" w:hint="default"/>
          <w:sz w:val="32"/>
          <w:szCs w:val="32"/>
        </w:rPr>
        <w:t>）住房保障支出</w:t>
      </w:r>
      <w:r>
        <w:rPr>
          <w:rFonts w:ascii="Times New Roman" w:eastAsia="方正仿宋_GBK" w:hAnsi="Times New Roman" w:hint="default"/>
          <w:sz w:val="32"/>
          <w:szCs w:val="32"/>
        </w:rPr>
        <w:t>3.67</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4.67%</w:t>
      </w:r>
      <w:r>
        <w:rPr>
          <w:rFonts w:ascii="Times New Roman" w:eastAsia="方正仿宋_GBK" w:hAnsi="Times New Roman" w:hint="default"/>
          <w:sz w:val="32"/>
          <w:szCs w:val="32"/>
        </w:rPr>
        <w:t>，较年初预算数无增减。</w:t>
      </w:r>
    </w:p>
    <w:p w:rsidR="00D05B95" w:rsidRDefault="00B7689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（四）一般公共预算财政拨款基本支出决算情况说明</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lastRenderedPageBreak/>
        <w:t>2024</w:t>
      </w:r>
      <w:r>
        <w:rPr>
          <w:rFonts w:ascii="Times New Roman" w:eastAsia="方正仿宋_GBK" w:hAnsi="Times New Roman" w:hint="default"/>
          <w:sz w:val="32"/>
          <w:szCs w:val="32"/>
        </w:rPr>
        <w:t>年度一般公共财政拨款基本支出</w:t>
      </w:r>
      <w:r>
        <w:rPr>
          <w:rFonts w:ascii="Times New Roman" w:eastAsia="方正仿宋_GBK" w:hAnsi="Times New Roman" w:hint="default"/>
          <w:sz w:val="32"/>
          <w:szCs w:val="32"/>
        </w:rPr>
        <w:t>77.76</w:t>
      </w:r>
      <w:r>
        <w:rPr>
          <w:rFonts w:ascii="Times New Roman" w:eastAsia="方正仿宋_GBK" w:hAnsi="Times New Roman" w:hint="default"/>
          <w:sz w:val="32"/>
          <w:szCs w:val="32"/>
        </w:rPr>
        <w:t>万元。其中：人员经费</w:t>
      </w:r>
      <w:r>
        <w:rPr>
          <w:rFonts w:ascii="Times New Roman" w:eastAsia="方正仿宋_GBK" w:hAnsi="Times New Roman" w:hint="default"/>
          <w:sz w:val="32"/>
          <w:szCs w:val="32"/>
        </w:rPr>
        <w:t>73.60</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年度相比，增加</w:t>
      </w:r>
      <w:r>
        <w:rPr>
          <w:rFonts w:ascii="Times New Roman" w:eastAsia="方正仿宋_GBK" w:hAnsi="Times New Roman" w:hint="default"/>
          <w:sz w:val="32"/>
          <w:szCs w:val="32"/>
        </w:rPr>
        <w:t>5.56</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8.2%</w:t>
      </w:r>
      <w:r>
        <w:rPr>
          <w:rFonts w:ascii="Times New Roman" w:eastAsia="方正仿宋_GBK" w:hAnsi="Times New Roman" w:hint="default"/>
          <w:sz w:val="32"/>
          <w:szCs w:val="32"/>
        </w:rPr>
        <w:t>，主要原因是人员工资调整及社保费用支出等增加。人员经费用途主要包括基本工资、津贴补贴、绩效工资、社会保障缴费、住房公积金等。公用经费</w:t>
      </w:r>
      <w:r>
        <w:rPr>
          <w:rFonts w:ascii="Times New Roman" w:eastAsia="方正仿宋_GBK" w:hAnsi="Times New Roman" w:hint="default"/>
          <w:sz w:val="32"/>
          <w:szCs w:val="32"/>
        </w:rPr>
        <w:t>4.16</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年度相比，减少</w:t>
      </w:r>
      <w:r>
        <w:rPr>
          <w:rFonts w:ascii="Times New Roman" w:eastAsia="方正仿宋_GBK" w:hAnsi="Times New Roman" w:hint="default"/>
          <w:sz w:val="32"/>
          <w:szCs w:val="32"/>
        </w:rPr>
        <w:t>0.26</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5.9%</w:t>
      </w:r>
      <w:r>
        <w:rPr>
          <w:rFonts w:ascii="Times New Roman" w:eastAsia="方正仿宋_GBK" w:hAnsi="Times New Roman" w:hint="default"/>
          <w:sz w:val="32"/>
          <w:szCs w:val="32"/>
        </w:rPr>
        <w:t>，主要原因是严格控制公用经费支出，公用经费支出减少。公用经费用途主要包括办公费、邮电费、培训费、工会经费等。</w:t>
      </w:r>
    </w:p>
    <w:p w:rsidR="00D05B95" w:rsidRDefault="00B7689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（五）政府性基金预算收支决算情况说明</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本部门</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年度无政府性基金预算财</w:t>
      </w:r>
      <w:r>
        <w:rPr>
          <w:rFonts w:ascii="Times New Roman" w:eastAsia="方正仿宋_GBK" w:hAnsi="Times New Roman" w:hint="default"/>
          <w:sz w:val="32"/>
          <w:szCs w:val="32"/>
        </w:rPr>
        <w:t>政拨款收支。</w:t>
      </w:r>
    </w:p>
    <w:p w:rsidR="00D05B95" w:rsidRDefault="00B7689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（六）国有资本经营预算财政拨款支出决算情况说明</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本部门</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年度无国有资本经营预算财政拨款支出。</w:t>
      </w:r>
    </w:p>
    <w:p w:rsidR="00D05B95" w:rsidRDefault="00B7689C">
      <w:pPr>
        <w:spacing w:line="579" w:lineRule="exact"/>
        <w:ind w:firstLineChars="200" w:firstLine="640"/>
        <w:jc w:val="both"/>
        <w:rPr>
          <w:rFonts w:ascii="Times New Roman" w:eastAsia="方正黑体_GBK" w:hAnsi="Times New Roman" w:hint="default"/>
          <w:sz w:val="32"/>
          <w:szCs w:val="32"/>
        </w:rPr>
      </w:pPr>
      <w:r>
        <w:rPr>
          <w:rFonts w:ascii="Times New Roman" w:eastAsia="方正黑体_GBK" w:hAnsi="Times New Roman" w:hint="default"/>
          <w:sz w:val="32"/>
          <w:szCs w:val="32"/>
        </w:rPr>
        <w:t>三、</w:t>
      </w:r>
      <w:r>
        <w:rPr>
          <w:rFonts w:ascii="Times New Roman" w:eastAsia="方正黑体_GBK" w:hAnsi="Times New Roman" w:hint="default"/>
          <w:sz w:val="32"/>
          <w:szCs w:val="32"/>
        </w:rPr>
        <w:t>“</w:t>
      </w:r>
      <w:r>
        <w:rPr>
          <w:rFonts w:ascii="Times New Roman" w:eastAsia="方正黑体_GBK" w:hAnsi="Times New Roman" w:hint="default"/>
          <w:sz w:val="32"/>
          <w:szCs w:val="32"/>
        </w:rPr>
        <w:t>三公</w:t>
      </w:r>
      <w:r>
        <w:rPr>
          <w:rFonts w:ascii="Times New Roman" w:eastAsia="方正黑体_GBK" w:hAnsi="Times New Roman" w:hint="default"/>
          <w:sz w:val="32"/>
          <w:szCs w:val="32"/>
        </w:rPr>
        <w:t>”</w:t>
      </w:r>
      <w:r>
        <w:rPr>
          <w:rFonts w:ascii="Times New Roman" w:eastAsia="方正黑体_GBK" w:hAnsi="Times New Roman" w:hint="default"/>
          <w:sz w:val="32"/>
          <w:szCs w:val="32"/>
        </w:rPr>
        <w:t>经费情况说明</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我单位是重庆市黔江区商务委员会直属事业单位，</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年公用经费由主管部门统筹安排使用，在</w:t>
      </w:r>
      <w:r>
        <w:rPr>
          <w:rFonts w:ascii="Times New Roman" w:eastAsia="方正仿宋_GBK" w:hAnsi="Times New Roman" w:hint="default"/>
          <w:sz w:val="32"/>
          <w:szCs w:val="32"/>
        </w:rPr>
        <w:t>2024</w:t>
      </w:r>
      <w:r>
        <w:rPr>
          <w:rFonts w:ascii="Times New Roman" w:eastAsia="方正仿宋_GBK" w:hAnsi="Times New Roman" w:hint="default"/>
          <w:sz w:val="32"/>
          <w:szCs w:val="32"/>
        </w:rPr>
        <w:t>年无</w:t>
      </w:r>
      <w:r>
        <w:rPr>
          <w:rFonts w:ascii="Times New Roman" w:eastAsia="方正仿宋_GBK" w:hAnsi="Times New Roman" w:hint="default"/>
          <w:sz w:val="32"/>
          <w:szCs w:val="32"/>
        </w:rPr>
        <w:t>“</w:t>
      </w:r>
      <w:r>
        <w:rPr>
          <w:rFonts w:ascii="Times New Roman" w:eastAsia="方正仿宋_GBK" w:hAnsi="Times New Roman" w:hint="default"/>
          <w:sz w:val="32"/>
          <w:szCs w:val="32"/>
        </w:rPr>
        <w:t>三公</w:t>
      </w:r>
      <w:r>
        <w:rPr>
          <w:rFonts w:ascii="Times New Roman" w:eastAsia="方正仿宋_GBK" w:hAnsi="Times New Roman" w:hint="default"/>
          <w:sz w:val="32"/>
          <w:szCs w:val="32"/>
        </w:rPr>
        <w:t>”</w:t>
      </w:r>
      <w:r>
        <w:rPr>
          <w:rFonts w:ascii="Times New Roman" w:eastAsia="方正仿宋_GBK" w:hAnsi="Times New Roman" w:hint="default"/>
          <w:sz w:val="32"/>
          <w:szCs w:val="32"/>
        </w:rPr>
        <w:t>经费支出。</w:t>
      </w:r>
    </w:p>
    <w:p w:rsidR="00D05B95" w:rsidRDefault="00B7689C">
      <w:pPr>
        <w:spacing w:line="579" w:lineRule="exact"/>
        <w:ind w:firstLineChars="200" w:firstLine="640"/>
        <w:jc w:val="both"/>
        <w:rPr>
          <w:rFonts w:ascii="Times New Roman" w:eastAsia="方正黑体_GBK" w:hAnsi="Times New Roman" w:hint="default"/>
          <w:sz w:val="32"/>
          <w:szCs w:val="32"/>
        </w:rPr>
      </w:pPr>
      <w:r>
        <w:rPr>
          <w:rFonts w:ascii="Times New Roman" w:eastAsia="方正黑体_GBK" w:hAnsi="Times New Roman" w:hint="default"/>
          <w:sz w:val="32"/>
          <w:szCs w:val="32"/>
        </w:rPr>
        <w:t>四、其他需要说明的事项</w:t>
      </w:r>
    </w:p>
    <w:p w:rsidR="00D05B95" w:rsidRDefault="00B7689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（一）财政拨款会议费和培训费情况说明</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本年度会议费支出</w:t>
      </w:r>
      <w:r>
        <w:rPr>
          <w:rFonts w:ascii="Times New Roman" w:eastAsia="方正仿宋_GBK" w:hAnsi="Times New Roman" w:hint="default"/>
          <w:sz w:val="32"/>
          <w:szCs w:val="32"/>
        </w:rPr>
        <w:t>0.00</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年度相比，无增减。本年度培训费支出</w:t>
      </w:r>
      <w:r>
        <w:rPr>
          <w:rFonts w:ascii="Times New Roman" w:eastAsia="方正仿宋_GBK" w:hAnsi="Times New Roman" w:hint="default"/>
          <w:sz w:val="32"/>
          <w:szCs w:val="32"/>
        </w:rPr>
        <w:t>0.46</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年度相比，增加</w:t>
      </w:r>
      <w:r>
        <w:rPr>
          <w:rFonts w:ascii="Times New Roman" w:eastAsia="方正仿宋_GBK" w:hAnsi="Times New Roman" w:hint="default"/>
          <w:sz w:val="32"/>
          <w:szCs w:val="32"/>
        </w:rPr>
        <w:t>0.36</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360.0%</w:t>
      </w:r>
      <w:r>
        <w:rPr>
          <w:rFonts w:ascii="Times New Roman" w:eastAsia="方正仿宋_GBK" w:hAnsi="Times New Roman" w:hint="default"/>
          <w:sz w:val="32"/>
          <w:szCs w:val="32"/>
        </w:rPr>
        <w:t>，主要原因是职工参加培训的次数和费用增加。</w:t>
      </w:r>
    </w:p>
    <w:p w:rsidR="00D05B95" w:rsidRDefault="00B7689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（二</w:t>
      </w:r>
      <w:r>
        <w:rPr>
          <w:rFonts w:ascii="Times New Roman" w:eastAsia="方正楷体_GBK" w:hAnsi="Times New Roman" w:hint="default"/>
          <w:sz w:val="32"/>
          <w:szCs w:val="32"/>
        </w:rPr>
        <w:t>）机关运行经费情况说明</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lastRenderedPageBreak/>
        <w:t>按照部门决算列报口径，我单位不在机关运行经费统计范围之内。</w:t>
      </w:r>
    </w:p>
    <w:p w:rsidR="00D05B95" w:rsidRDefault="00B7689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（三）国有资产占用情况说明</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截至</w:t>
      </w:r>
      <w:r>
        <w:rPr>
          <w:rFonts w:ascii="Times New Roman" w:eastAsia="方正仿宋_GBK" w:hAnsi="Times New Roman" w:hint="default"/>
          <w:sz w:val="32"/>
          <w:szCs w:val="32"/>
        </w:rPr>
        <w:t>2024</w:t>
      </w:r>
      <w:r>
        <w:rPr>
          <w:rFonts w:ascii="Times New Roman" w:eastAsia="方正仿宋_GBK" w:hAnsi="Times New Roman" w:hint="default"/>
          <w:sz w:val="32"/>
          <w:szCs w:val="32"/>
        </w:rPr>
        <w:t>年</w:t>
      </w:r>
      <w:r>
        <w:rPr>
          <w:rFonts w:ascii="Times New Roman" w:eastAsia="方正仿宋_GBK" w:hAnsi="Times New Roman" w:hint="default"/>
          <w:sz w:val="32"/>
          <w:szCs w:val="32"/>
        </w:rPr>
        <w:t>12</w:t>
      </w:r>
      <w:r>
        <w:rPr>
          <w:rFonts w:ascii="Times New Roman" w:eastAsia="方正仿宋_GBK" w:hAnsi="Times New Roman" w:hint="default"/>
          <w:sz w:val="32"/>
          <w:szCs w:val="32"/>
        </w:rPr>
        <w:t>月</w:t>
      </w:r>
      <w:r>
        <w:rPr>
          <w:rFonts w:ascii="Times New Roman" w:eastAsia="方正仿宋_GBK" w:hAnsi="Times New Roman" w:hint="default"/>
          <w:sz w:val="32"/>
          <w:szCs w:val="32"/>
        </w:rPr>
        <w:t>31</w:t>
      </w:r>
      <w:r>
        <w:rPr>
          <w:rFonts w:ascii="Times New Roman" w:eastAsia="方正仿宋_GBK" w:hAnsi="Times New Roman" w:hint="default"/>
          <w:sz w:val="32"/>
          <w:szCs w:val="32"/>
        </w:rPr>
        <w:t>日，本部门共有车辆</w:t>
      </w:r>
      <w:r>
        <w:rPr>
          <w:rFonts w:ascii="Times New Roman" w:eastAsia="方正仿宋_GBK" w:hAnsi="Times New Roman" w:hint="default"/>
          <w:sz w:val="32"/>
          <w:szCs w:val="32"/>
        </w:rPr>
        <w:t>0</w:t>
      </w:r>
      <w:r>
        <w:rPr>
          <w:rFonts w:ascii="Times New Roman" w:eastAsia="方正仿宋_GBK" w:hAnsi="Times New Roman" w:hint="default"/>
          <w:sz w:val="32"/>
          <w:szCs w:val="32"/>
        </w:rPr>
        <w:t>辆，其中，副部（省）级及以上领导用车</w:t>
      </w:r>
      <w:r>
        <w:rPr>
          <w:rFonts w:ascii="Times New Roman" w:eastAsia="方正仿宋_GBK" w:hAnsi="Times New Roman" w:hint="default"/>
          <w:sz w:val="32"/>
          <w:szCs w:val="32"/>
        </w:rPr>
        <w:t>0</w:t>
      </w:r>
      <w:r>
        <w:rPr>
          <w:rFonts w:ascii="Times New Roman" w:eastAsia="方正仿宋_GBK" w:hAnsi="Times New Roman" w:hint="default"/>
          <w:sz w:val="32"/>
          <w:szCs w:val="32"/>
        </w:rPr>
        <w:t>辆、主要负责人用车</w:t>
      </w:r>
      <w:r>
        <w:rPr>
          <w:rFonts w:ascii="Times New Roman" w:eastAsia="方正仿宋_GBK" w:hAnsi="Times New Roman" w:hint="default"/>
          <w:sz w:val="32"/>
          <w:szCs w:val="32"/>
        </w:rPr>
        <w:t>0</w:t>
      </w:r>
      <w:r>
        <w:rPr>
          <w:rFonts w:ascii="Times New Roman" w:eastAsia="方正仿宋_GBK" w:hAnsi="Times New Roman" w:hint="default"/>
          <w:sz w:val="32"/>
          <w:szCs w:val="32"/>
        </w:rPr>
        <w:t>辆、机要通信用车</w:t>
      </w:r>
      <w:r>
        <w:rPr>
          <w:rFonts w:ascii="Times New Roman" w:eastAsia="方正仿宋_GBK" w:hAnsi="Times New Roman" w:hint="default"/>
          <w:sz w:val="32"/>
          <w:szCs w:val="32"/>
        </w:rPr>
        <w:t>0</w:t>
      </w:r>
      <w:r>
        <w:rPr>
          <w:rFonts w:ascii="Times New Roman" w:eastAsia="方正仿宋_GBK" w:hAnsi="Times New Roman" w:hint="default"/>
          <w:sz w:val="32"/>
          <w:szCs w:val="32"/>
        </w:rPr>
        <w:t>辆、应急保障用车</w:t>
      </w:r>
      <w:r>
        <w:rPr>
          <w:rFonts w:ascii="Times New Roman" w:eastAsia="方正仿宋_GBK" w:hAnsi="Times New Roman" w:hint="default"/>
          <w:sz w:val="32"/>
          <w:szCs w:val="32"/>
        </w:rPr>
        <w:t>0</w:t>
      </w:r>
      <w:r>
        <w:rPr>
          <w:rFonts w:ascii="Times New Roman" w:eastAsia="方正仿宋_GBK" w:hAnsi="Times New Roman" w:hint="default"/>
          <w:sz w:val="32"/>
          <w:szCs w:val="32"/>
        </w:rPr>
        <w:t>辆、执法执勤用车</w:t>
      </w:r>
      <w:r>
        <w:rPr>
          <w:rFonts w:ascii="Times New Roman" w:eastAsia="方正仿宋_GBK" w:hAnsi="Times New Roman" w:hint="default"/>
          <w:sz w:val="32"/>
          <w:szCs w:val="32"/>
        </w:rPr>
        <w:t>0</w:t>
      </w:r>
      <w:r>
        <w:rPr>
          <w:rFonts w:ascii="Times New Roman" w:eastAsia="方正仿宋_GBK" w:hAnsi="Times New Roman" w:hint="default"/>
          <w:sz w:val="32"/>
          <w:szCs w:val="32"/>
        </w:rPr>
        <w:t>辆，特种专业技术用车</w:t>
      </w:r>
      <w:r>
        <w:rPr>
          <w:rFonts w:ascii="Times New Roman" w:eastAsia="方正仿宋_GBK" w:hAnsi="Times New Roman" w:hint="default"/>
          <w:sz w:val="32"/>
          <w:szCs w:val="32"/>
        </w:rPr>
        <w:t>0</w:t>
      </w:r>
      <w:r>
        <w:rPr>
          <w:rFonts w:ascii="Times New Roman" w:eastAsia="方正仿宋_GBK" w:hAnsi="Times New Roman" w:hint="default"/>
          <w:sz w:val="32"/>
          <w:szCs w:val="32"/>
        </w:rPr>
        <w:t>辆，离退休干部用车</w:t>
      </w:r>
      <w:r>
        <w:rPr>
          <w:rFonts w:ascii="Times New Roman" w:eastAsia="方正仿宋_GBK" w:hAnsi="Times New Roman" w:hint="default"/>
          <w:sz w:val="32"/>
          <w:szCs w:val="32"/>
        </w:rPr>
        <w:t>0</w:t>
      </w:r>
      <w:r>
        <w:rPr>
          <w:rFonts w:ascii="Times New Roman" w:eastAsia="方正仿宋_GBK" w:hAnsi="Times New Roman" w:hint="default"/>
          <w:sz w:val="32"/>
          <w:szCs w:val="32"/>
        </w:rPr>
        <w:t>辆。单价</w:t>
      </w:r>
      <w:r>
        <w:rPr>
          <w:rFonts w:ascii="Times New Roman" w:eastAsia="方正仿宋_GBK" w:hAnsi="Times New Roman" w:hint="default"/>
          <w:sz w:val="32"/>
          <w:szCs w:val="32"/>
        </w:rPr>
        <w:t>100</w:t>
      </w:r>
      <w:r>
        <w:rPr>
          <w:rFonts w:ascii="Times New Roman" w:eastAsia="方正仿宋_GBK" w:hAnsi="Times New Roman" w:hint="default"/>
          <w:sz w:val="32"/>
          <w:szCs w:val="32"/>
        </w:rPr>
        <w:t>万元（含）以上专用设备</w:t>
      </w:r>
      <w:r>
        <w:rPr>
          <w:rFonts w:ascii="Times New Roman" w:eastAsia="方正仿宋_GBK" w:hAnsi="Times New Roman" w:hint="default"/>
          <w:sz w:val="32"/>
          <w:szCs w:val="32"/>
        </w:rPr>
        <w:t>0</w:t>
      </w:r>
      <w:r>
        <w:rPr>
          <w:rFonts w:ascii="Times New Roman" w:eastAsia="方正仿宋_GBK" w:hAnsi="Times New Roman" w:hint="default"/>
          <w:sz w:val="32"/>
          <w:szCs w:val="32"/>
        </w:rPr>
        <w:t>台（套）。</w:t>
      </w:r>
    </w:p>
    <w:p w:rsidR="00D05B95" w:rsidRDefault="00B7689C">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（四）政府采购支出情况说明</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2024</w:t>
      </w:r>
      <w:r>
        <w:rPr>
          <w:rFonts w:ascii="Times New Roman" w:eastAsia="方正仿宋_GBK" w:hAnsi="Times New Roman" w:hint="default"/>
          <w:sz w:val="32"/>
          <w:szCs w:val="32"/>
        </w:rPr>
        <w:t>年度我单位未发生政府采购事项，无相关经费支出。</w:t>
      </w:r>
    </w:p>
    <w:p w:rsidR="00D05B95" w:rsidRDefault="00B7689C">
      <w:pPr>
        <w:spacing w:line="579" w:lineRule="exact"/>
        <w:ind w:firstLineChars="200" w:firstLine="640"/>
        <w:jc w:val="both"/>
        <w:rPr>
          <w:rFonts w:ascii="Times New Roman" w:eastAsia="方正黑体_GBK" w:hAnsi="Times New Roman" w:hint="default"/>
          <w:sz w:val="32"/>
          <w:szCs w:val="32"/>
        </w:rPr>
      </w:pPr>
      <w:r>
        <w:rPr>
          <w:rFonts w:ascii="Times New Roman" w:eastAsia="方正黑体_GBK" w:hAnsi="Times New Roman" w:hint="default"/>
          <w:sz w:val="32"/>
          <w:szCs w:val="32"/>
        </w:rPr>
        <w:t>五、预算绩效管理情况说明</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根据预算绩效管理要求，我单位对</w:t>
      </w:r>
      <w:r>
        <w:rPr>
          <w:rFonts w:ascii="Times New Roman" w:eastAsia="方正仿宋_GBK" w:hAnsi="Times New Roman" w:hint="default"/>
          <w:sz w:val="32"/>
          <w:szCs w:val="32"/>
        </w:rPr>
        <w:t>1</w:t>
      </w:r>
      <w:r>
        <w:rPr>
          <w:rFonts w:ascii="Times New Roman" w:eastAsia="方正仿宋_GBK" w:hAnsi="Times New Roman" w:hint="default"/>
          <w:sz w:val="32"/>
          <w:szCs w:val="32"/>
        </w:rPr>
        <w:t>个二级项目开展了绩效自评，涉及财政拨款项目支出资金</w:t>
      </w:r>
      <w:r>
        <w:rPr>
          <w:rFonts w:ascii="Times New Roman" w:eastAsia="方正仿宋_GBK" w:hAnsi="Times New Roman" w:hint="default"/>
          <w:sz w:val="32"/>
          <w:szCs w:val="32"/>
        </w:rPr>
        <w:t>0.9</w:t>
      </w:r>
      <w:r>
        <w:rPr>
          <w:rFonts w:ascii="Times New Roman" w:eastAsia="方正仿宋_GBK" w:hAnsi="Times New Roman" w:hint="default"/>
          <w:sz w:val="32"/>
          <w:szCs w:val="32"/>
        </w:rPr>
        <w:t>万元。</w:t>
      </w:r>
    </w:p>
    <w:p w:rsidR="00D05B95" w:rsidRDefault="00B7689C">
      <w:pPr>
        <w:spacing w:beforeLines="50" w:before="163" w:afterLines="50" w:after="163" w:line="579" w:lineRule="exact"/>
        <w:jc w:val="center"/>
        <w:rPr>
          <w:rFonts w:ascii="Times New Roman" w:eastAsia="方正仿宋_GBK" w:hAnsi="Times New Roman" w:hint="default"/>
          <w:sz w:val="32"/>
          <w:szCs w:val="32"/>
        </w:rPr>
      </w:pPr>
      <w:r>
        <w:rPr>
          <w:rStyle w:val="a9"/>
          <w:rFonts w:ascii="方正小标宋_GBK" w:eastAsia="方正小标宋_GBK" w:hAnsi="方正小标宋_GBK" w:cs="方正小标宋_GBK"/>
          <w:b w:val="0"/>
          <w:sz w:val="32"/>
          <w:szCs w:val="32"/>
          <w:shd w:val="clear" w:color="auto" w:fill="FFFFFF"/>
        </w:rPr>
        <w:t>2024</w:t>
      </w:r>
      <w:r>
        <w:rPr>
          <w:rStyle w:val="a9"/>
          <w:rFonts w:ascii="方正小标宋_GBK" w:eastAsia="方正小标宋_GBK" w:hAnsi="方正小标宋_GBK" w:cs="方正小标宋_GBK"/>
          <w:b w:val="0"/>
          <w:sz w:val="32"/>
          <w:szCs w:val="32"/>
          <w:shd w:val="clear" w:color="auto" w:fill="FFFFFF"/>
        </w:rPr>
        <w:t>年度项目支出绩效自评情况表（二级项目）</w:t>
      </w:r>
    </w:p>
    <w:tbl>
      <w:tblPr>
        <w:tblStyle w:val="a8"/>
        <w:tblW w:w="8759" w:type="dxa"/>
        <w:tblInd w:w="-4" w:type="dxa"/>
        <w:tblLook w:val="04A0" w:firstRow="1" w:lastRow="0" w:firstColumn="1" w:lastColumn="0" w:noHBand="0" w:noVBand="1"/>
      </w:tblPr>
      <w:tblGrid>
        <w:gridCol w:w="500"/>
        <w:gridCol w:w="1082"/>
        <w:gridCol w:w="1932"/>
        <w:gridCol w:w="709"/>
        <w:gridCol w:w="567"/>
        <w:gridCol w:w="709"/>
        <w:gridCol w:w="709"/>
        <w:gridCol w:w="708"/>
        <w:gridCol w:w="707"/>
        <w:gridCol w:w="427"/>
        <w:gridCol w:w="709"/>
      </w:tblGrid>
      <w:tr w:rsidR="00D05B95">
        <w:trPr>
          <w:trHeight w:val="962"/>
        </w:trPr>
        <w:tc>
          <w:tcPr>
            <w:tcW w:w="500" w:type="dxa"/>
            <w:vAlign w:val="center"/>
          </w:tcPr>
          <w:p w:rsidR="00D05B95" w:rsidRDefault="00B7689C">
            <w:pPr>
              <w:snapToGrid w:val="0"/>
              <w:spacing w:line="240" w:lineRule="exact"/>
              <w:jc w:val="center"/>
              <w:rPr>
                <w:rStyle w:val="a9"/>
                <w:rFonts w:ascii="方正黑体_GBK" w:eastAsia="方正黑体_GBK" w:hAnsi="方正黑体_GBK" w:cs="方正黑体_GBK" w:hint="default"/>
                <w:b w:val="0"/>
                <w:bCs/>
                <w:sz w:val="21"/>
                <w:szCs w:val="21"/>
                <w:shd w:val="clear" w:color="auto" w:fill="FFFFFF"/>
              </w:rPr>
            </w:pPr>
            <w:r>
              <w:rPr>
                <w:rStyle w:val="a9"/>
                <w:rFonts w:ascii="方正黑体_GBK" w:eastAsia="方正黑体_GBK" w:hAnsi="方正黑体_GBK" w:cs="方正黑体_GBK"/>
                <w:b w:val="0"/>
                <w:bCs/>
                <w:sz w:val="21"/>
                <w:szCs w:val="21"/>
                <w:shd w:val="clear" w:color="auto" w:fill="FFFFFF"/>
              </w:rPr>
              <w:t>序号</w:t>
            </w:r>
          </w:p>
        </w:tc>
        <w:tc>
          <w:tcPr>
            <w:tcW w:w="1082" w:type="dxa"/>
            <w:vAlign w:val="center"/>
          </w:tcPr>
          <w:p w:rsidR="00D05B95" w:rsidRDefault="00B7689C">
            <w:pPr>
              <w:snapToGrid w:val="0"/>
              <w:spacing w:line="240" w:lineRule="exact"/>
              <w:jc w:val="center"/>
              <w:rPr>
                <w:rStyle w:val="a9"/>
                <w:rFonts w:ascii="方正黑体_GBK" w:eastAsia="方正黑体_GBK" w:hAnsi="方正黑体_GBK" w:cs="方正黑体_GBK" w:hint="default"/>
                <w:b w:val="0"/>
                <w:bCs/>
                <w:sz w:val="21"/>
                <w:szCs w:val="21"/>
                <w:shd w:val="clear" w:color="auto" w:fill="FFFFFF"/>
              </w:rPr>
            </w:pPr>
            <w:r>
              <w:rPr>
                <w:rStyle w:val="a9"/>
                <w:rFonts w:ascii="方正黑体_GBK" w:eastAsia="方正黑体_GBK" w:hAnsi="方正黑体_GBK" w:cs="方正黑体_GBK"/>
                <w:b w:val="0"/>
                <w:bCs/>
                <w:sz w:val="21"/>
                <w:szCs w:val="21"/>
                <w:shd w:val="clear" w:color="auto" w:fill="FFFFFF"/>
              </w:rPr>
              <w:t>项目名称</w:t>
            </w:r>
          </w:p>
        </w:tc>
        <w:tc>
          <w:tcPr>
            <w:tcW w:w="1932" w:type="dxa"/>
            <w:vAlign w:val="center"/>
          </w:tcPr>
          <w:p w:rsidR="00D05B95" w:rsidRDefault="00B7689C">
            <w:pPr>
              <w:snapToGrid w:val="0"/>
              <w:spacing w:line="240" w:lineRule="exact"/>
              <w:jc w:val="center"/>
              <w:rPr>
                <w:rStyle w:val="a9"/>
                <w:rFonts w:ascii="方正黑体_GBK" w:eastAsia="方正黑体_GBK" w:hAnsi="方正黑体_GBK" w:cs="方正黑体_GBK" w:hint="default"/>
                <w:b w:val="0"/>
                <w:bCs/>
                <w:sz w:val="21"/>
                <w:szCs w:val="21"/>
                <w:shd w:val="clear" w:color="auto" w:fill="FFFFFF"/>
              </w:rPr>
            </w:pPr>
            <w:r>
              <w:rPr>
                <w:rStyle w:val="a9"/>
                <w:rFonts w:ascii="方正黑体_GBK" w:eastAsia="方正黑体_GBK" w:hAnsi="方正黑体_GBK" w:cs="方正黑体_GBK"/>
                <w:b w:val="0"/>
                <w:bCs/>
                <w:sz w:val="21"/>
                <w:szCs w:val="21"/>
                <w:shd w:val="clear" w:color="auto" w:fill="FFFFFF"/>
              </w:rPr>
              <w:t>指标名称</w:t>
            </w:r>
          </w:p>
        </w:tc>
        <w:tc>
          <w:tcPr>
            <w:tcW w:w="709" w:type="dxa"/>
            <w:vAlign w:val="center"/>
          </w:tcPr>
          <w:p w:rsidR="00D05B95" w:rsidRDefault="00B7689C">
            <w:pPr>
              <w:snapToGrid w:val="0"/>
              <w:spacing w:line="240" w:lineRule="exact"/>
              <w:jc w:val="center"/>
              <w:rPr>
                <w:rStyle w:val="a9"/>
                <w:rFonts w:ascii="方正黑体_GBK" w:eastAsia="方正黑体_GBK" w:hAnsi="方正黑体_GBK" w:cs="方正黑体_GBK" w:hint="default"/>
                <w:b w:val="0"/>
                <w:bCs/>
                <w:sz w:val="21"/>
                <w:szCs w:val="21"/>
                <w:shd w:val="clear" w:color="auto" w:fill="FFFFFF"/>
              </w:rPr>
            </w:pPr>
            <w:r>
              <w:rPr>
                <w:rStyle w:val="a9"/>
                <w:rFonts w:ascii="方正黑体_GBK" w:eastAsia="方正黑体_GBK" w:hAnsi="方正黑体_GBK" w:cs="方正黑体_GBK"/>
                <w:b w:val="0"/>
                <w:bCs/>
                <w:sz w:val="21"/>
                <w:szCs w:val="21"/>
                <w:shd w:val="clear" w:color="auto" w:fill="FFFFFF"/>
              </w:rPr>
              <w:t>指标性质</w:t>
            </w:r>
          </w:p>
        </w:tc>
        <w:tc>
          <w:tcPr>
            <w:tcW w:w="567" w:type="dxa"/>
            <w:vAlign w:val="center"/>
          </w:tcPr>
          <w:p w:rsidR="00D05B95" w:rsidRDefault="00B7689C">
            <w:pPr>
              <w:snapToGrid w:val="0"/>
              <w:spacing w:line="240" w:lineRule="exact"/>
              <w:jc w:val="center"/>
              <w:rPr>
                <w:rStyle w:val="a9"/>
                <w:rFonts w:ascii="方正黑体_GBK" w:eastAsia="方正黑体_GBK" w:hAnsi="方正黑体_GBK" w:cs="方正黑体_GBK" w:hint="default"/>
                <w:b w:val="0"/>
                <w:bCs/>
                <w:sz w:val="21"/>
                <w:szCs w:val="21"/>
                <w:shd w:val="clear" w:color="auto" w:fill="FFFFFF"/>
              </w:rPr>
            </w:pPr>
            <w:r>
              <w:rPr>
                <w:rStyle w:val="a9"/>
                <w:rFonts w:ascii="方正黑体_GBK" w:eastAsia="方正黑体_GBK" w:hAnsi="方正黑体_GBK" w:cs="方正黑体_GBK"/>
                <w:b w:val="0"/>
                <w:bCs/>
                <w:sz w:val="21"/>
                <w:szCs w:val="21"/>
                <w:shd w:val="clear" w:color="auto" w:fill="FFFFFF"/>
              </w:rPr>
              <w:t>指标值</w:t>
            </w:r>
          </w:p>
        </w:tc>
        <w:tc>
          <w:tcPr>
            <w:tcW w:w="709" w:type="dxa"/>
            <w:vAlign w:val="center"/>
          </w:tcPr>
          <w:p w:rsidR="00D05B95" w:rsidRDefault="00B7689C">
            <w:pPr>
              <w:snapToGrid w:val="0"/>
              <w:spacing w:line="240" w:lineRule="exact"/>
              <w:jc w:val="center"/>
              <w:rPr>
                <w:rStyle w:val="a9"/>
                <w:rFonts w:ascii="方正黑体_GBK" w:eastAsia="方正黑体_GBK" w:hAnsi="方正黑体_GBK" w:cs="方正黑体_GBK" w:hint="default"/>
                <w:b w:val="0"/>
                <w:bCs/>
                <w:sz w:val="21"/>
                <w:szCs w:val="21"/>
                <w:shd w:val="clear" w:color="auto" w:fill="FFFFFF"/>
              </w:rPr>
            </w:pPr>
            <w:r>
              <w:rPr>
                <w:rStyle w:val="a9"/>
                <w:rFonts w:ascii="方正黑体_GBK" w:eastAsia="方正黑体_GBK" w:hAnsi="方正黑体_GBK" w:cs="方正黑体_GBK"/>
                <w:b w:val="0"/>
                <w:bCs/>
                <w:sz w:val="21"/>
                <w:szCs w:val="21"/>
                <w:shd w:val="clear" w:color="auto" w:fill="FFFFFF"/>
              </w:rPr>
              <w:t>计量单位</w:t>
            </w:r>
          </w:p>
        </w:tc>
        <w:tc>
          <w:tcPr>
            <w:tcW w:w="709" w:type="dxa"/>
            <w:vAlign w:val="center"/>
          </w:tcPr>
          <w:p w:rsidR="00D05B95" w:rsidRDefault="00B7689C">
            <w:pPr>
              <w:snapToGrid w:val="0"/>
              <w:spacing w:line="240" w:lineRule="exact"/>
              <w:jc w:val="center"/>
              <w:rPr>
                <w:rStyle w:val="a9"/>
                <w:rFonts w:ascii="方正黑体_GBK" w:eastAsia="方正黑体_GBK" w:hAnsi="方正黑体_GBK" w:cs="方正黑体_GBK" w:hint="default"/>
                <w:b w:val="0"/>
                <w:bCs/>
                <w:sz w:val="21"/>
                <w:szCs w:val="21"/>
                <w:shd w:val="clear" w:color="auto" w:fill="FFFFFF"/>
              </w:rPr>
            </w:pPr>
            <w:r>
              <w:rPr>
                <w:rStyle w:val="a9"/>
                <w:rFonts w:ascii="方正黑体_GBK" w:eastAsia="方正黑体_GBK" w:hAnsi="方正黑体_GBK" w:cs="方正黑体_GBK"/>
                <w:b w:val="0"/>
                <w:bCs/>
                <w:sz w:val="21"/>
                <w:szCs w:val="21"/>
                <w:shd w:val="clear" w:color="auto" w:fill="FFFFFF"/>
              </w:rPr>
              <w:t>指标权重</w:t>
            </w:r>
          </w:p>
        </w:tc>
        <w:tc>
          <w:tcPr>
            <w:tcW w:w="708" w:type="dxa"/>
            <w:vAlign w:val="center"/>
          </w:tcPr>
          <w:p w:rsidR="00D05B95" w:rsidRDefault="00B7689C">
            <w:pPr>
              <w:snapToGrid w:val="0"/>
              <w:spacing w:line="240" w:lineRule="exact"/>
              <w:jc w:val="center"/>
              <w:rPr>
                <w:rStyle w:val="a9"/>
                <w:rFonts w:ascii="方正黑体_GBK" w:eastAsia="方正黑体_GBK" w:hAnsi="方正黑体_GBK" w:cs="方正黑体_GBK" w:hint="default"/>
                <w:b w:val="0"/>
                <w:bCs/>
                <w:sz w:val="21"/>
                <w:szCs w:val="21"/>
                <w:shd w:val="clear" w:color="auto" w:fill="FFFFFF"/>
              </w:rPr>
            </w:pPr>
            <w:r>
              <w:rPr>
                <w:rStyle w:val="a9"/>
                <w:rFonts w:ascii="方正黑体_GBK" w:eastAsia="方正黑体_GBK" w:hAnsi="方正黑体_GBK" w:cs="方正黑体_GBK"/>
                <w:b w:val="0"/>
                <w:bCs/>
                <w:sz w:val="21"/>
                <w:szCs w:val="21"/>
                <w:shd w:val="clear" w:color="auto" w:fill="FFFFFF"/>
              </w:rPr>
              <w:t>全年完成值</w:t>
            </w:r>
          </w:p>
        </w:tc>
        <w:tc>
          <w:tcPr>
            <w:tcW w:w="707" w:type="dxa"/>
            <w:vAlign w:val="center"/>
          </w:tcPr>
          <w:p w:rsidR="00D05B95" w:rsidRDefault="00B7689C">
            <w:pPr>
              <w:snapToGrid w:val="0"/>
              <w:spacing w:line="240" w:lineRule="exact"/>
              <w:jc w:val="center"/>
              <w:rPr>
                <w:rStyle w:val="a9"/>
                <w:rFonts w:ascii="方正黑体_GBK" w:eastAsia="方正黑体_GBK" w:hAnsi="方正黑体_GBK" w:cs="方正黑体_GBK" w:hint="default"/>
                <w:b w:val="0"/>
                <w:bCs/>
                <w:sz w:val="21"/>
                <w:szCs w:val="21"/>
                <w:shd w:val="clear" w:color="auto" w:fill="FFFFFF"/>
              </w:rPr>
            </w:pPr>
            <w:r>
              <w:rPr>
                <w:rStyle w:val="a9"/>
                <w:rFonts w:ascii="方正黑体_GBK" w:eastAsia="方正黑体_GBK" w:hAnsi="方正黑体_GBK" w:cs="方正黑体_GBK"/>
                <w:b w:val="0"/>
                <w:bCs/>
                <w:sz w:val="21"/>
                <w:szCs w:val="21"/>
                <w:shd w:val="clear" w:color="auto" w:fill="FFFFFF"/>
              </w:rPr>
              <w:t>指标得分</w:t>
            </w:r>
          </w:p>
        </w:tc>
        <w:tc>
          <w:tcPr>
            <w:tcW w:w="427" w:type="dxa"/>
            <w:vAlign w:val="center"/>
          </w:tcPr>
          <w:p w:rsidR="00D05B95" w:rsidRDefault="00B7689C">
            <w:pPr>
              <w:snapToGrid w:val="0"/>
              <w:spacing w:line="240" w:lineRule="exact"/>
              <w:jc w:val="center"/>
              <w:rPr>
                <w:rStyle w:val="a9"/>
                <w:rFonts w:ascii="方正黑体_GBK" w:eastAsia="方正黑体_GBK" w:hAnsi="方正黑体_GBK" w:cs="方正黑体_GBK" w:hint="default"/>
                <w:b w:val="0"/>
                <w:bCs/>
                <w:sz w:val="21"/>
                <w:szCs w:val="21"/>
                <w:shd w:val="clear" w:color="auto" w:fill="FFFFFF"/>
              </w:rPr>
            </w:pPr>
            <w:r>
              <w:rPr>
                <w:rStyle w:val="a9"/>
                <w:rFonts w:ascii="方正黑体_GBK" w:eastAsia="方正黑体_GBK" w:hAnsi="方正黑体_GBK" w:cs="方正黑体_GBK"/>
                <w:b w:val="0"/>
                <w:bCs/>
                <w:sz w:val="21"/>
                <w:szCs w:val="21"/>
                <w:shd w:val="clear" w:color="auto" w:fill="FFFFFF"/>
              </w:rPr>
              <w:t>说明</w:t>
            </w:r>
          </w:p>
        </w:tc>
        <w:tc>
          <w:tcPr>
            <w:tcW w:w="709" w:type="dxa"/>
            <w:vAlign w:val="center"/>
          </w:tcPr>
          <w:p w:rsidR="00D05B95" w:rsidRDefault="00B7689C">
            <w:pPr>
              <w:snapToGrid w:val="0"/>
              <w:spacing w:line="240" w:lineRule="exact"/>
              <w:jc w:val="center"/>
              <w:rPr>
                <w:rStyle w:val="a9"/>
                <w:rFonts w:ascii="方正黑体_GBK" w:eastAsia="方正黑体_GBK" w:hAnsi="方正黑体_GBK" w:cs="方正黑体_GBK" w:hint="default"/>
                <w:b w:val="0"/>
                <w:bCs/>
                <w:sz w:val="21"/>
                <w:szCs w:val="21"/>
                <w:shd w:val="clear" w:color="auto" w:fill="FFFFFF"/>
              </w:rPr>
            </w:pPr>
            <w:r>
              <w:rPr>
                <w:rStyle w:val="a9"/>
                <w:rFonts w:ascii="方正黑体_GBK" w:eastAsia="方正黑体_GBK" w:hAnsi="方正黑体_GBK" w:cs="方正黑体_GBK"/>
                <w:b w:val="0"/>
                <w:bCs/>
                <w:sz w:val="21"/>
                <w:szCs w:val="21"/>
                <w:shd w:val="clear" w:color="auto" w:fill="FFFFFF"/>
              </w:rPr>
              <w:t>自评得分</w:t>
            </w:r>
          </w:p>
        </w:tc>
      </w:tr>
      <w:tr w:rsidR="00D05B95">
        <w:trPr>
          <w:trHeight w:val="603"/>
        </w:trPr>
        <w:tc>
          <w:tcPr>
            <w:tcW w:w="500" w:type="dxa"/>
            <w:vMerge w:val="restart"/>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hint="default"/>
                <w:b w:val="0"/>
                <w:sz w:val="21"/>
                <w:szCs w:val="21"/>
                <w:shd w:val="clear" w:color="auto" w:fill="FFFFFF"/>
              </w:rPr>
              <w:t>1</w:t>
            </w:r>
          </w:p>
        </w:tc>
        <w:tc>
          <w:tcPr>
            <w:tcW w:w="1082" w:type="dxa"/>
            <w:vMerge w:val="restart"/>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hint="default"/>
                <w:b w:val="0"/>
                <w:sz w:val="21"/>
                <w:szCs w:val="21"/>
                <w:shd w:val="clear" w:color="auto" w:fill="FFFFFF"/>
              </w:rPr>
              <w:t>引进人才安家补贴及工作补贴、部属师范大学入职奖励、鸿雁计划奖励资金</w:t>
            </w:r>
          </w:p>
        </w:tc>
        <w:tc>
          <w:tcPr>
            <w:tcW w:w="1932"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hint="default"/>
                <w:b w:val="0"/>
                <w:sz w:val="21"/>
                <w:szCs w:val="21"/>
                <w:shd w:val="clear" w:color="auto" w:fill="FFFFFF"/>
              </w:rPr>
              <w:t>年度预算执行率</w:t>
            </w:r>
          </w:p>
        </w:tc>
        <w:tc>
          <w:tcPr>
            <w:tcW w:w="709"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hint="default"/>
                <w:b w:val="0"/>
                <w:sz w:val="21"/>
                <w:szCs w:val="21"/>
                <w:shd w:val="clear" w:color="auto" w:fill="FFFFFF"/>
              </w:rPr>
              <w:t>=</w:t>
            </w:r>
          </w:p>
        </w:tc>
        <w:tc>
          <w:tcPr>
            <w:tcW w:w="567"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b w:val="0"/>
                <w:sz w:val="21"/>
                <w:szCs w:val="21"/>
                <w:shd w:val="clear" w:color="auto" w:fill="FFFFFF"/>
              </w:rPr>
              <w:t>0.9</w:t>
            </w:r>
          </w:p>
        </w:tc>
        <w:tc>
          <w:tcPr>
            <w:tcW w:w="709"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hint="default"/>
                <w:b w:val="0"/>
                <w:sz w:val="21"/>
                <w:szCs w:val="21"/>
                <w:shd w:val="clear" w:color="auto" w:fill="FFFFFF"/>
              </w:rPr>
              <w:t>万元</w:t>
            </w:r>
          </w:p>
        </w:tc>
        <w:tc>
          <w:tcPr>
            <w:tcW w:w="709"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hint="default"/>
                <w:b w:val="0"/>
                <w:sz w:val="21"/>
                <w:szCs w:val="21"/>
                <w:shd w:val="clear" w:color="auto" w:fill="FFFFFF"/>
              </w:rPr>
              <w:t>10</w:t>
            </w:r>
          </w:p>
        </w:tc>
        <w:tc>
          <w:tcPr>
            <w:tcW w:w="708"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b w:val="0"/>
                <w:sz w:val="21"/>
                <w:szCs w:val="21"/>
                <w:shd w:val="clear" w:color="auto" w:fill="FFFFFF"/>
              </w:rPr>
              <w:t>0.9</w:t>
            </w:r>
          </w:p>
        </w:tc>
        <w:tc>
          <w:tcPr>
            <w:tcW w:w="707"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b w:val="0"/>
                <w:sz w:val="21"/>
                <w:szCs w:val="21"/>
                <w:shd w:val="clear" w:color="auto" w:fill="FFFFFF"/>
              </w:rPr>
              <w:t>10</w:t>
            </w:r>
          </w:p>
        </w:tc>
        <w:tc>
          <w:tcPr>
            <w:tcW w:w="427" w:type="dxa"/>
            <w:vAlign w:val="center"/>
          </w:tcPr>
          <w:p w:rsidR="00D05B95" w:rsidRDefault="00D05B95">
            <w:pPr>
              <w:snapToGrid w:val="0"/>
              <w:spacing w:line="240" w:lineRule="exact"/>
              <w:jc w:val="center"/>
              <w:rPr>
                <w:rStyle w:val="a9"/>
                <w:rFonts w:ascii="Times New Roman" w:eastAsia="方正仿宋_GBK" w:hAnsi="Times New Roman" w:hint="default"/>
                <w:b w:val="0"/>
                <w:sz w:val="21"/>
                <w:szCs w:val="21"/>
                <w:shd w:val="clear" w:color="auto" w:fill="FFFFFF"/>
              </w:rPr>
            </w:pPr>
          </w:p>
        </w:tc>
        <w:tc>
          <w:tcPr>
            <w:tcW w:w="709"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b w:val="0"/>
                <w:sz w:val="21"/>
                <w:szCs w:val="21"/>
                <w:shd w:val="clear" w:color="auto" w:fill="FFFFFF"/>
              </w:rPr>
              <w:t>10</w:t>
            </w:r>
          </w:p>
        </w:tc>
      </w:tr>
      <w:tr w:rsidR="00D05B95">
        <w:trPr>
          <w:trHeight w:val="647"/>
        </w:trPr>
        <w:tc>
          <w:tcPr>
            <w:tcW w:w="500" w:type="dxa"/>
            <w:vMerge/>
            <w:vAlign w:val="center"/>
          </w:tcPr>
          <w:p w:rsidR="00D05B95" w:rsidRDefault="00D05B95">
            <w:pPr>
              <w:snapToGrid w:val="0"/>
              <w:spacing w:line="240" w:lineRule="exact"/>
              <w:jc w:val="center"/>
              <w:rPr>
                <w:rStyle w:val="a9"/>
                <w:rFonts w:ascii="Times New Roman" w:eastAsia="方正仿宋_GBK" w:hAnsi="Times New Roman" w:hint="default"/>
                <w:b w:val="0"/>
                <w:sz w:val="21"/>
                <w:szCs w:val="21"/>
                <w:shd w:val="clear" w:color="auto" w:fill="FFFFFF"/>
              </w:rPr>
            </w:pPr>
          </w:p>
        </w:tc>
        <w:tc>
          <w:tcPr>
            <w:tcW w:w="1082" w:type="dxa"/>
            <w:vMerge/>
            <w:vAlign w:val="center"/>
          </w:tcPr>
          <w:p w:rsidR="00D05B95" w:rsidRDefault="00D05B95">
            <w:pPr>
              <w:snapToGrid w:val="0"/>
              <w:spacing w:line="240" w:lineRule="exact"/>
              <w:jc w:val="center"/>
              <w:rPr>
                <w:rStyle w:val="a9"/>
                <w:rFonts w:ascii="Times New Roman" w:eastAsia="方正仿宋_GBK" w:hAnsi="Times New Roman" w:hint="default"/>
                <w:b w:val="0"/>
                <w:sz w:val="21"/>
                <w:szCs w:val="21"/>
                <w:shd w:val="clear" w:color="auto" w:fill="FFFFFF"/>
              </w:rPr>
            </w:pPr>
          </w:p>
        </w:tc>
        <w:tc>
          <w:tcPr>
            <w:tcW w:w="1932"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Fonts w:ascii="Times New Roman" w:eastAsia="方正仿宋_GBK" w:hAnsi="Times New Roman" w:hint="default"/>
                <w:color w:val="000000"/>
                <w:lang w:bidi="ar"/>
              </w:rPr>
              <w:t>引进人才数量</w:t>
            </w:r>
          </w:p>
        </w:tc>
        <w:tc>
          <w:tcPr>
            <w:tcW w:w="709"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hint="default"/>
                <w:b w:val="0"/>
                <w:sz w:val="21"/>
                <w:szCs w:val="21"/>
                <w:shd w:val="clear" w:color="auto" w:fill="FFFFFF"/>
              </w:rPr>
              <w:t>=</w:t>
            </w:r>
          </w:p>
        </w:tc>
        <w:tc>
          <w:tcPr>
            <w:tcW w:w="567"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b w:val="0"/>
                <w:sz w:val="21"/>
                <w:szCs w:val="21"/>
                <w:shd w:val="clear" w:color="auto" w:fill="FFFFFF"/>
              </w:rPr>
              <w:t>1</w:t>
            </w:r>
          </w:p>
        </w:tc>
        <w:tc>
          <w:tcPr>
            <w:tcW w:w="709"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b w:val="0"/>
                <w:sz w:val="21"/>
                <w:szCs w:val="21"/>
                <w:shd w:val="clear" w:color="auto" w:fill="FFFFFF"/>
              </w:rPr>
              <w:t>名</w:t>
            </w:r>
          </w:p>
        </w:tc>
        <w:tc>
          <w:tcPr>
            <w:tcW w:w="709"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b w:val="0"/>
                <w:sz w:val="21"/>
                <w:szCs w:val="21"/>
                <w:shd w:val="clear" w:color="auto" w:fill="FFFFFF"/>
              </w:rPr>
              <w:t>30</w:t>
            </w:r>
          </w:p>
        </w:tc>
        <w:tc>
          <w:tcPr>
            <w:tcW w:w="708"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b w:val="0"/>
                <w:sz w:val="21"/>
                <w:szCs w:val="21"/>
                <w:shd w:val="clear" w:color="auto" w:fill="FFFFFF"/>
              </w:rPr>
              <w:t>1</w:t>
            </w:r>
          </w:p>
        </w:tc>
        <w:tc>
          <w:tcPr>
            <w:tcW w:w="707" w:type="dxa"/>
            <w:shd w:val="clear" w:color="auto" w:fill="auto"/>
            <w:vAlign w:val="center"/>
          </w:tcPr>
          <w:p w:rsidR="00D05B95" w:rsidRDefault="00B7689C">
            <w:pPr>
              <w:snapToGrid w:val="0"/>
              <w:spacing w:line="240" w:lineRule="exact"/>
              <w:jc w:val="center"/>
              <w:rPr>
                <w:rFonts w:ascii="Times New Roman" w:eastAsia="方正仿宋_GBK" w:hAnsi="Times New Roman" w:hint="default"/>
                <w:sz w:val="21"/>
                <w:szCs w:val="21"/>
                <w:shd w:val="clear" w:color="auto" w:fill="FFFFFF"/>
              </w:rPr>
            </w:pPr>
            <w:r>
              <w:rPr>
                <w:rStyle w:val="a9"/>
                <w:rFonts w:ascii="Times New Roman" w:eastAsia="方正仿宋_GBK" w:hAnsi="Times New Roman"/>
                <w:b w:val="0"/>
                <w:sz w:val="21"/>
                <w:szCs w:val="21"/>
                <w:shd w:val="clear" w:color="auto" w:fill="FFFFFF"/>
              </w:rPr>
              <w:t>30</w:t>
            </w:r>
          </w:p>
        </w:tc>
        <w:tc>
          <w:tcPr>
            <w:tcW w:w="427" w:type="dxa"/>
            <w:vAlign w:val="center"/>
          </w:tcPr>
          <w:p w:rsidR="00D05B95" w:rsidRDefault="00D05B95">
            <w:pPr>
              <w:snapToGrid w:val="0"/>
              <w:spacing w:line="240" w:lineRule="exact"/>
              <w:jc w:val="center"/>
              <w:rPr>
                <w:rStyle w:val="a9"/>
                <w:rFonts w:ascii="Times New Roman" w:eastAsia="方正仿宋_GBK" w:hAnsi="Times New Roman" w:hint="default"/>
                <w:b w:val="0"/>
                <w:sz w:val="21"/>
                <w:szCs w:val="21"/>
                <w:shd w:val="clear" w:color="auto" w:fill="FFFFFF"/>
              </w:rPr>
            </w:pPr>
          </w:p>
        </w:tc>
        <w:tc>
          <w:tcPr>
            <w:tcW w:w="709" w:type="dxa"/>
            <w:shd w:val="clear" w:color="auto" w:fill="auto"/>
            <w:vAlign w:val="center"/>
          </w:tcPr>
          <w:p w:rsidR="00D05B95" w:rsidRDefault="00B7689C">
            <w:pPr>
              <w:snapToGrid w:val="0"/>
              <w:spacing w:line="240" w:lineRule="exact"/>
              <w:jc w:val="center"/>
              <w:rPr>
                <w:rFonts w:ascii="Times New Roman" w:eastAsia="方正仿宋_GBK" w:hAnsi="Times New Roman" w:hint="default"/>
                <w:sz w:val="21"/>
                <w:szCs w:val="21"/>
                <w:shd w:val="clear" w:color="auto" w:fill="FFFFFF"/>
              </w:rPr>
            </w:pPr>
            <w:r>
              <w:rPr>
                <w:rStyle w:val="a9"/>
                <w:rFonts w:ascii="Times New Roman" w:eastAsia="方正仿宋_GBK" w:hAnsi="Times New Roman"/>
                <w:b w:val="0"/>
                <w:sz w:val="21"/>
                <w:szCs w:val="21"/>
                <w:shd w:val="clear" w:color="auto" w:fill="FFFFFF"/>
              </w:rPr>
              <w:t>30</w:t>
            </w:r>
          </w:p>
        </w:tc>
      </w:tr>
      <w:tr w:rsidR="00D05B95">
        <w:trPr>
          <w:trHeight w:val="1000"/>
        </w:trPr>
        <w:tc>
          <w:tcPr>
            <w:tcW w:w="500" w:type="dxa"/>
            <w:vMerge/>
            <w:vAlign w:val="center"/>
          </w:tcPr>
          <w:p w:rsidR="00D05B95" w:rsidRDefault="00D05B95">
            <w:pPr>
              <w:snapToGrid w:val="0"/>
              <w:spacing w:line="240" w:lineRule="exact"/>
              <w:jc w:val="center"/>
              <w:rPr>
                <w:rStyle w:val="a9"/>
                <w:rFonts w:ascii="Times New Roman" w:eastAsia="方正仿宋_GBK" w:hAnsi="Times New Roman" w:hint="default"/>
                <w:b w:val="0"/>
                <w:sz w:val="21"/>
                <w:szCs w:val="21"/>
                <w:shd w:val="clear" w:color="auto" w:fill="FFFFFF"/>
              </w:rPr>
            </w:pPr>
          </w:p>
        </w:tc>
        <w:tc>
          <w:tcPr>
            <w:tcW w:w="1082" w:type="dxa"/>
            <w:vMerge/>
            <w:vAlign w:val="center"/>
          </w:tcPr>
          <w:p w:rsidR="00D05B95" w:rsidRDefault="00D05B95">
            <w:pPr>
              <w:snapToGrid w:val="0"/>
              <w:spacing w:line="240" w:lineRule="exact"/>
              <w:jc w:val="center"/>
              <w:rPr>
                <w:rStyle w:val="a9"/>
                <w:rFonts w:ascii="Times New Roman" w:eastAsia="方正仿宋_GBK" w:hAnsi="Times New Roman" w:hint="default"/>
                <w:b w:val="0"/>
                <w:sz w:val="21"/>
                <w:szCs w:val="21"/>
                <w:shd w:val="clear" w:color="auto" w:fill="FFFFFF"/>
              </w:rPr>
            </w:pPr>
          </w:p>
        </w:tc>
        <w:tc>
          <w:tcPr>
            <w:tcW w:w="1932"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Fonts w:ascii="Times New Roman" w:eastAsia="方正仿宋_GBK" w:hAnsi="Times New Roman" w:hint="default"/>
                <w:color w:val="000000"/>
                <w:lang w:bidi="ar"/>
              </w:rPr>
              <w:t>资金使用合格率</w:t>
            </w:r>
          </w:p>
        </w:tc>
        <w:tc>
          <w:tcPr>
            <w:tcW w:w="709"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hint="default"/>
                <w:b w:val="0"/>
                <w:sz w:val="21"/>
                <w:szCs w:val="21"/>
                <w:shd w:val="clear" w:color="auto" w:fill="FFFFFF"/>
              </w:rPr>
              <w:t>=</w:t>
            </w:r>
          </w:p>
        </w:tc>
        <w:tc>
          <w:tcPr>
            <w:tcW w:w="567"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b w:val="0"/>
                <w:sz w:val="21"/>
                <w:szCs w:val="21"/>
                <w:shd w:val="clear" w:color="auto" w:fill="FFFFFF"/>
              </w:rPr>
              <w:t>100</w:t>
            </w:r>
          </w:p>
        </w:tc>
        <w:tc>
          <w:tcPr>
            <w:tcW w:w="709"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b w:val="0"/>
                <w:sz w:val="21"/>
                <w:szCs w:val="21"/>
                <w:shd w:val="clear" w:color="auto" w:fill="FFFFFF"/>
              </w:rPr>
              <w:t>%</w:t>
            </w:r>
          </w:p>
        </w:tc>
        <w:tc>
          <w:tcPr>
            <w:tcW w:w="709"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b w:val="0"/>
                <w:sz w:val="21"/>
                <w:szCs w:val="21"/>
                <w:shd w:val="clear" w:color="auto" w:fill="FFFFFF"/>
              </w:rPr>
              <w:t>30</w:t>
            </w:r>
          </w:p>
        </w:tc>
        <w:tc>
          <w:tcPr>
            <w:tcW w:w="708"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b w:val="0"/>
                <w:sz w:val="21"/>
                <w:szCs w:val="21"/>
                <w:shd w:val="clear" w:color="auto" w:fill="FFFFFF"/>
              </w:rPr>
              <w:t>100</w:t>
            </w:r>
          </w:p>
        </w:tc>
        <w:tc>
          <w:tcPr>
            <w:tcW w:w="707" w:type="dxa"/>
            <w:shd w:val="clear" w:color="auto" w:fill="auto"/>
            <w:vAlign w:val="center"/>
          </w:tcPr>
          <w:p w:rsidR="00D05B95" w:rsidRDefault="00B7689C">
            <w:pPr>
              <w:snapToGrid w:val="0"/>
              <w:spacing w:line="240" w:lineRule="exact"/>
              <w:jc w:val="center"/>
              <w:rPr>
                <w:rFonts w:ascii="Times New Roman" w:eastAsia="方正仿宋_GBK" w:hAnsi="Times New Roman" w:hint="default"/>
                <w:sz w:val="21"/>
                <w:szCs w:val="21"/>
                <w:shd w:val="clear" w:color="auto" w:fill="FFFFFF"/>
              </w:rPr>
            </w:pPr>
            <w:r>
              <w:rPr>
                <w:rStyle w:val="a9"/>
                <w:rFonts w:ascii="Times New Roman" w:eastAsia="方正仿宋_GBK" w:hAnsi="Times New Roman"/>
                <w:b w:val="0"/>
                <w:sz w:val="21"/>
                <w:szCs w:val="21"/>
                <w:shd w:val="clear" w:color="auto" w:fill="FFFFFF"/>
              </w:rPr>
              <w:t>30</w:t>
            </w:r>
          </w:p>
        </w:tc>
        <w:tc>
          <w:tcPr>
            <w:tcW w:w="427" w:type="dxa"/>
            <w:vAlign w:val="center"/>
          </w:tcPr>
          <w:p w:rsidR="00D05B95" w:rsidRDefault="00D05B95">
            <w:pPr>
              <w:snapToGrid w:val="0"/>
              <w:spacing w:line="240" w:lineRule="exact"/>
              <w:jc w:val="center"/>
              <w:rPr>
                <w:rStyle w:val="a9"/>
                <w:rFonts w:ascii="Times New Roman" w:eastAsia="方正仿宋_GBK" w:hAnsi="Times New Roman" w:hint="default"/>
                <w:b w:val="0"/>
                <w:sz w:val="21"/>
                <w:szCs w:val="21"/>
                <w:shd w:val="clear" w:color="auto" w:fill="FFFFFF"/>
              </w:rPr>
            </w:pPr>
          </w:p>
        </w:tc>
        <w:tc>
          <w:tcPr>
            <w:tcW w:w="709" w:type="dxa"/>
            <w:shd w:val="clear" w:color="auto" w:fill="auto"/>
            <w:vAlign w:val="center"/>
          </w:tcPr>
          <w:p w:rsidR="00D05B95" w:rsidRDefault="00B7689C">
            <w:pPr>
              <w:snapToGrid w:val="0"/>
              <w:spacing w:line="240" w:lineRule="exact"/>
              <w:jc w:val="center"/>
              <w:rPr>
                <w:rFonts w:ascii="Times New Roman" w:eastAsia="方正仿宋_GBK" w:hAnsi="Times New Roman" w:hint="default"/>
                <w:sz w:val="21"/>
                <w:szCs w:val="21"/>
                <w:shd w:val="clear" w:color="auto" w:fill="FFFFFF"/>
              </w:rPr>
            </w:pPr>
            <w:r>
              <w:rPr>
                <w:rStyle w:val="a9"/>
                <w:rFonts w:ascii="Times New Roman" w:eastAsia="方正仿宋_GBK" w:hAnsi="Times New Roman"/>
                <w:b w:val="0"/>
                <w:sz w:val="21"/>
                <w:szCs w:val="21"/>
                <w:shd w:val="clear" w:color="auto" w:fill="FFFFFF"/>
              </w:rPr>
              <w:t>30</w:t>
            </w:r>
          </w:p>
        </w:tc>
      </w:tr>
      <w:tr w:rsidR="00D05B95">
        <w:trPr>
          <w:trHeight w:val="742"/>
        </w:trPr>
        <w:tc>
          <w:tcPr>
            <w:tcW w:w="500" w:type="dxa"/>
            <w:vMerge/>
            <w:vAlign w:val="center"/>
          </w:tcPr>
          <w:p w:rsidR="00D05B95" w:rsidRDefault="00D05B95">
            <w:pPr>
              <w:snapToGrid w:val="0"/>
              <w:spacing w:line="240" w:lineRule="exact"/>
              <w:jc w:val="center"/>
              <w:rPr>
                <w:rStyle w:val="a9"/>
                <w:rFonts w:ascii="Times New Roman" w:eastAsia="方正仿宋_GBK" w:hAnsi="Times New Roman" w:hint="default"/>
                <w:b w:val="0"/>
                <w:sz w:val="21"/>
                <w:szCs w:val="21"/>
                <w:shd w:val="clear" w:color="auto" w:fill="FFFFFF"/>
              </w:rPr>
            </w:pPr>
          </w:p>
        </w:tc>
        <w:tc>
          <w:tcPr>
            <w:tcW w:w="1082" w:type="dxa"/>
            <w:vMerge/>
            <w:vAlign w:val="center"/>
          </w:tcPr>
          <w:p w:rsidR="00D05B95" w:rsidRDefault="00D05B95">
            <w:pPr>
              <w:snapToGrid w:val="0"/>
              <w:spacing w:line="240" w:lineRule="exact"/>
              <w:jc w:val="center"/>
              <w:rPr>
                <w:rStyle w:val="a9"/>
                <w:rFonts w:ascii="Times New Roman" w:eastAsia="方正仿宋_GBK" w:hAnsi="Times New Roman" w:hint="default"/>
                <w:b w:val="0"/>
                <w:sz w:val="21"/>
                <w:szCs w:val="21"/>
                <w:shd w:val="clear" w:color="auto" w:fill="FFFFFF"/>
              </w:rPr>
            </w:pPr>
          </w:p>
        </w:tc>
        <w:tc>
          <w:tcPr>
            <w:tcW w:w="1932"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Fonts w:ascii="Times New Roman" w:eastAsia="方正仿宋_GBK" w:hAnsi="Times New Roman" w:hint="default"/>
                <w:color w:val="000000"/>
                <w:lang w:bidi="ar"/>
              </w:rPr>
              <w:t>增加就业岗位数量</w:t>
            </w:r>
          </w:p>
        </w:tc>
        <w:tc>
          <w:tcPr>
            <w:tcW w:w="709"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hint="default"/>
                <w:b w:val="0"/>
                <w:sz w:val="21"/>
                <w:szCs w:val="21"/>
                <w:shd w:val="clear" w:color="auto" w:fill="FFFFFF"/>
              </w:rPr>
              <w:t>=</w:t>
            </w:r>
          </w:p>
        </w:tc>
        <w:tc>
          <w:tcPr>
            <w:tcW w:w="567"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b w:val="0"/>
                <w:sz w:val="21"/>
                <w:szCs w:val="21"/>
                <w:shd w:val="clear" w:color="auto" w:fill="FFFFFF"/>
              </w:rPr>
              <w:t>1</w:t>
            </w:r>
          </w:p>
        </w:tc>
        <w:tc>
          <w:tcPr>
            <w:tcW w:w="709"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b w:val="0"/>
                <w:sz w:val="21"/>
                <w:szCs w:val="21"/>
                <w:shd w:val="clear" w:color="auto" w:fill="FFFFFF"/>
              </w:rPr>
              <w:t>个</w:t>
            </w:r>
          </w:p>
        </w:tc>
        <w:tc>
          <w:tcPr>
            <w:tcW w:w="709"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b w:val="0"/>
                <w:sz w:val="21"/>
                <w:szCs w:val="21"/>
                <w:shd w:val="clear" w:color="auto" w:fill="FFFFFF"/>
              </w:rPr>
              <w:t>30</w:t>
            </w:r>
          </w:p>
        </w:tc>
        <w:tc>
          <w:tcPr>
            <w:tcW w:w="708" w:type="dxa"/>
            <w:vAlign w:val="center"/>
          </w:tcPr>
          <w:p w:rsidR="00D05B95" w:rsidRDefault="00B7689C">
            <w:pPr>
              <w:snapToGrid w:val="0"/>
              <w:spacing w:line="240" w:lineRule="exact"/>
              <w:jc w:val="center"/>
              <w:rPr>
                <w:rStyle w:val="a9"/>
                <w:rFonts w:ascii="Times New Roman" w:eastAsia="方正仿宋_GBK" w:hAnsi="Times New Roman" w:hint="default"/>
                <w:b w:val="0"/>
                <w:sz w:val="21"/>
                <w:szCs w:val="21"/>
                <w:shd w:val="clear" w:color="auto" w:fill="FFFFFF"/>
              </w:rPr>
            </w:pPr>
            <w:r>
              <w:rPr>
                <w:rStyle w:val="a9"/>
                <w:rFonts w:ascii="Times New Roman" w:eastAsia="方正仿宋_GBK" w:hAnsi="Times New Roman"/>
                <w:b w:val="0"/>
                <w:sz w:val="21"/>
                <w:szCs w:val="21"/>
                <w:shd w:val="clear" w:color="auto" w:fill="FFFFFF"/>
              </w:rPr>
              <w:t>1</w:t>
            </w:r>
          </w:p>
        </w:tc>
        <w:tc>
          <w:tcPr>
            <w:tcW w:w="707" w:type="dxa"/>
            <w:shd w:val="clear" w:color="auto" w:fill="auto"/>
            <w:vAlign w:val="center"/>
          </w:tcPr>
          <w:p w:rsidR="00D05B95" w:rsidRDefault="00B7689C">
            <w:pPr>
              <w:snapToGrid w:val="0"/>
              <w:spacing w:line="240" w:lineRule="exact"/>
              <w:jc w:val="center"/>
              <w:rPr>
                <w:rFonts w:ascii="Times New Roman" w:eastAsia="方正仿宋_GBK" w:hAnsi="Times New Roman" w:hint="default"/>
                <w:sz w:val="21"/>
                <w:szCs w:val="21"/>
                <w:shd w:val="clear" w:color="auto" w:fill="FFFFFF"/>
              </w:rPr>
            </w:pPr>
            <w:r>
              <w:rPr>
                <w:rStyle w:val="a9"/>
                <w:rFonts w:ascii="Times New Roman" w:eastAsia="方正仿宋_GBK" w:hAnsi="Times New Roman"/>
                <w:b w:val="0"/>
                <w:sz w:val="21"/>
                <w:szCs w:val="21"/>
                <w:shd w:val="clear" w:color="auto" w:fill="FFFFFF"/>
              </w:rPr>
              <w:t>30</w:t>
            </w:r>
          </w:p>
        </w:tc>
        <w:tc>
          <w:tcPr>
            <w:tcW w:w="427" w:type="dxa"/>
            <w:vAlign w:val="center"/>
          </w:tcPr>
          <w:p w:rsidR="00D05B95" w:rsidRDefault="00D05B95">
            <w:pPr>
              <w:snapToGrid w:val="0"/>
              <w:spacing w:line="240" w:lineRule="exact"/>
              <w:jc w:val="center"/>
              <w:rPr>
                <w:rStyle w:val="a9"/>
                <w:rFonts w:ascii="Times New Roman" w:eastAsia="方正仿宋_GBK" w:hAnsi="Times New Roman" w:hint="default"/>
                <w:b w:val="0"/>
                <w:sz w:val="21"/>
                <w:szCs w:val="21"/>
                <w:shd w:val="clear" w:color="auto" w:fill="FFFFFF"/>
              </w:rPr>
            </w:pPr>
          </w:p>
        </w:tc>
        <w:tc>
          <w:tcPr>
            <w:tcW w:w="709" w:type="dxa"/>
            <w:shd w:val="clear" w:color="auto" w:fill="auto"/>
            <w:vAlign w:val="center"/>
          </w:tcPr>
          <w:p w:rsidR="00D05B95" w:rsidRDefault="00B7689C">
            <w:pPr>
              <w:snapToGrid w:val="0"/>
              <w:spacing w:line="240" w:lineRule="exact"/>
              <w:jc w:val="center"/>
              <w:rPr>
                <w:rFonts w:ascii="Times New Roman" w:eastAsia="方正仿宋_GBK" w:hAnsi="Times New Roman" w:hint="default"/>
                <w:sz w:val="21"/>
                <w:szCs w:val="21"/>
                <w:shd w:val="clear" w:color="auto" w:fill="FFFFFF"/>
              </w:rPr>
            </w:pPr>
            <w:r>
              <w:rPr>
                <w:rStyle w:val="a9"/>
                <w:rFonts w:ascii="Times New Roman" w:eastAsia="方正仿宋_GBK" w:hAnsi="Times New Roman"/>
                <w:b w:val="0"/>
                <w:sz w:val="21"/>
                <w:szCs w:val="21"/>
                <w:shd w:val="clear" w:color="auto" w:fill="FFFFFF"/>
              </w:rPr>
              <w:t>30</w:t>
            </w:r>
          </w:p>
        </w:tc>
      </w:tr>
    </w:tbl>
    <w:p w:rsidR="00D05B95" w:rsidRDefault="00B7689C">
      <w:pPr>
        <w:spacing w:line="579" w:lineRule="exact"/>
        <w:ind w:firstLineChars="200" w:firstLine="640"/>
        <w:jc w:val="both"/>
        <w:rPr>
          <w:rFonts w:ascii="Times New Roman" w:eastAsia="方正黑体_GBK" w:hAnsi="Times New Roman" w:hint="default"/>
          <w:sz w:val="32"/>
          <w:szCs w:val="32"/>
        </w:rPr>
      </w:pPr>
      <w:r>
        <w:rPr>
          <w:rFonts w:ascii="Times New Roman" w:eastAsia="方正黑体_GBK" w:hAnsi="Times New Roman" w:hint="default"/>
          <w:sz w:val="32"/>
          <w:szCs w:val="32"/>
        </w:rPr>
        <w:lastRenderedPageBreak/>
        <w:t>六、专业名词解释</w:t>
      </w:r>
    </w:p>
    <w:p w:rsidR="00D05B95" w:rsidRDefault="00B7689C">
      <w:pPr>
        <w:spacing w:line="579" w:lineRule="exact"/>
        <w:ind w:firstLineChars="200" w:firstLine="640"/>
        <w:jc w:val="both"/>
        <w:rPr>
          <w:rFonts w:ascii="Times New Roman" w:eastAsia="方正黑体_GBK" w:hAnsi="Times New Roman" w:hint="default"/>
          <w:sz w:val="32"/>
          <w:szCs w:val="32"/>
        </w:rPr>
      </w:pPr>
      <w:r>
        <w:rPr>
          <w:rFonts w:ascii="Times New Roman" w:eastAsia="方正楷体_GBK" w:hAnsi="Times New Roman" w:hint="default"/>
          <w:sz w:val="32"/>
          <w:szCs w:val="32"/>
        </w:rPr>
        <w:t>（一）财政拨款收入：</w:t>
      </w:r>
      <w:r>
        <w:rPr>
          <w:rFonts w:ascii="Times New Roman" w:eastAsia="方正仿宋_GBK" w:hAnsi="Times New Roman" w:hint="default"/>
          <w:sz w:val="32"/>
          <w:szCs w:val="32"/>
        </w:rPr>
        <w:t>指本年度从本级财政部门取得的财政拨款，包括一般公共预算财政拨款和政府性基金预算财政拨款。</w:t>
      </w:r>
    </w:p>
    <w:p w:rsidR="00D05B95" w:rsidRDefault="00B7689C">
      <w:pPr>
        <w:spacing w:line="579" w:lineRule="exact"/>
        <w:ind w:firstLineChars="200" w:firstLine="640"/>
        <w:jc w:val="both"/>
        <w:rPr>
          <w:rFonts w:ascii="Times New Roman" w:eastAsia="方正黑体_GBK" w:hAnsi="Times New Roman" w:hint="default"/>
          <w:sz w:val="32"/>
          <w:szCs w:val="32"/>
        </w:rPr>
      </w:pPr>
      <w:r>
        <w:rPr>
          <w:rFonts w:ascii="Times New Roman" w:eastAsia="方正楷体_GBK" w:hAnsi="Times New Roman" w:hint="default"/>
          <w:sz w:val="32"/>
          <w:szCs w:val="32"/>
        </w:rPr>
        <w:t>（二）年初结转和结余：</w:t>
      </w:r>
      <w:r>
        <w:rPr>
          <w:rFonts w:ascii="Times New Roman" w:eastAsia="方正仿宋_GBK" w:hAnsi="Times New Roman" w:hint="default"/>
          <w:sz w:val="32"/>
          <w:szCs w:val="32"/>
        </w:rPr>
        <w:t>指单位上年结转本年使用的基本支出结转、项目支出结转和结余、经营结余。</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（三）年末结转和结余：</w:t>
      </w:r>
      <w:r>
        <w:rPr>
          <w:rFonts w:ascii="Times New Roman" w:eastAsia="方正仿宋_GBK" w:hAnsi="Times New Roman" w:hint="default"/>
          <w:sz w:val="32"/>
          <w:szCs w:val="32"/>
        </w:rPr>
        <w:t>指单位结转下年的基本支出结转、项目支出结转和结余、经营结余。</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（四）基本支出：</w:t>
      </w:r>
      <w:r>
        <w:rPr>
          <w:rFonts w:ascii="Times New Roman" w:eastAsia="方正仿宋_GBK" w:hAnsi="Times New Roman" w:hint="default"/>
          <w:sz w:val="32"/>
          <w:szCs w:val="32"/>
        </w:rPr>
        <w:t>指为保障机构正常运转、完成日常工作任务而发生的人员经费和公用经费。其中：人员经费指政府收支分类经济科目中的</w:t>
      </w:r>
      <w:r>
        <w:rPr>
          <w:rFonts w:ascii="Times New Roman" w:eastAsia="方正仿宋_GBK" w:hAnsi="Times New Roman" w:hint="default"/>
          <w:sz w:val="32"/>
          <w:szCs w:val="32"/>
        </w:rPr>
        <w:t>“</w:t>
      </w:r>
      <w:r>
        <w:rPr>
          <w:rFonts w:ascii="Times New Roman" w:eastAsia="方正仿宋_GBK" w:hAnsi="Times New Roman" w:hint="default"/>
          <w:sz w:val="32"/>
          <w:szCs w:val="32"/>
        </w:rPr>
        <w:t>工资福利支出</w:t>
      </w:r>
      <w:r>
        <w:rPr>
          <w:rFonts w:ascii="Times New Roman" w:eastAsia="方正仿宋_GBK" w:hAnsi="Times New Roman" w:hint="default"/>
          <w:sz w:val="32"/>
          <w:szCs w:val="32"/>
        </w:rPr>
        <w:t>”</w:t>
      </w:r>
      <w:r>
        <w:rPr>
          <w:rFonts w:ascii="Times New Roman" w:eastAsia="方正仿宋_GBK" w:hAnsi="Times New Roman" w:hint="default"/>
          <w:sz w:val="32"/>
          <w:szCs w:val="32"/>
        </w:rPr>
        <w:t>和</w:t>
      </w:r>
      <w:r>
        <w:rPr>
          <w:rFonts w:ascii="Times New Roman" w:eastAsia="方正仿宋_GBK" w:hAnsi="Times New Roman" w:hint="default"/>
          <w:sz w:val="32"/>
          <w:szCs w:val="32"/>
        </w:rPr>
        <w:t>“</w:t>
      </w:r>
      <w:r>
        <w:rPr>
          <w:rFonts w:ascii="Times New Roman" w:eastAsia="方正仿宋_GBK" w:hAnsi="Times New Roman" w:hint="default"/>
          <w:sz w:val="32"/>
          <w:szCs w:val="32"/>
        </w:rPr>
        <w:t>对个人和家庭的补助</w:t>
      </w:r>
      <w:r>
        <w:rPr>
          <w:rFonts w:ascii="Times New Roman" w:eastAsia="方正仿宋_GBK" w:hAnsi="Times New Roman" w:hint="default"/>
          <w:sz w:val="32"/>
          <w:szCs w:val="32"/>
        </w:rPr>
        <w:t>”</w:t>
      </w:r>
      <w:r>
        <w:rPr>
          <w:rFonts w:ascii="Times New Roman" w:eastAsia="方正仿宋_GBK" w:hAnsi="Times New Roman" w:hint="default"/>
          <w:sz w:val="32"/>
          <w:szCs w:val="32"/>
        </w:rPr>
        <w:t>；公用经费指政府收支分类经济科目中除</w:t>
      </w:r>
      <w:r>
        <w:rPr>
          <w:rFonts w:ascii="Times New Roman" w:eastAsia="方正仿宋_GBK" w:hAnsi="Times New Roman" w:hint="default"/>
          <w:sz w:val="32"/>
          <w:szCs w:val="32"/>
        </w:rPr>
        <w:t>“</w:t>
      </w:r>
      <w:r>
        <w:rPr>
          <w:rFonts w:ascii="Times New Roman" w:eastAsia="方正仿宋_GBK" w:hAnsi="Times New Roman" w:hint="default"/>
          <w:sz w:val="32"/>
          <w:szCs w:val="32"/>
        </w:rPr>
        <w:t>工资福利支出</w:t>
      </w:r>
      <w:r>
        <w:rPr>
          <w:rFonts w:ascii="Times New Roman" w:eastAsia="方正仿宋_GBK" w:hAnsi="Times New Roman" w:hint="default"/>
          <w:sz w:val="32"/>
          <w:szCs w:val="32"/>
        </w:rPr>
        <w:t>”</w:t>
      </w:r>
      <w:r>
        <w:rPr>
          <w:rFonts w:ascii="Times New Roman" w:eastAsia="方正仿宋_GBK" w:hAnsi="Times New Roman" w:hint="default"/>
          <w:sz w:val="32"/>
          <w:szCs w:val="32"/>
        </w:rPr>
        <w:t>和</w:t>
      </w:r>
      <w:r>
        <w:rPr>
          <w:rFonts w:ascii="Times New Roman" w:eastAsia="方正仿宋_GBK" w:hAnsi="Times New Roman" w:hint="default"/>
          <w:sz w:val="32"/>
          <w:szCs w:val="32"/>
        </w:rPr>
        <w:t>“</w:t>
      </w:r>
      <w:r>
        <w:rPr>
          <w:rFonts w:ascii="Times New Roman" w:eastAsia="方正仿宋_GBK" w:hAnsi="Times New Roman" w:hint="default"/>
          <w:sz w:val="32"/>
          <w:szCs w:val="32"/>
        </w:rPr>
        <w:t>对个人和家庭的补助</w:t>
      </w:r>
      <w:r>
        <w:rPr>
          <w:rFonts w:ascii="Times New Roman" w:eastAsia="方正仿宋_GBK" w:hAnsi="Times New Roman" w:hint="default"/>
          <w:sz w:val="32"/>
          <w:szCs w:val="32"/>
        </w:rPr>
        <w:t>”</w:t>
      </w:r>
      <w:r>
        <w:rPr>
          <w:rFonts w:ascii="Times New Roman" w:eastAsia="方正仿宋_GBK" w:hAnsi="Times New Roman" w:hint="default"/>
          <w:sz w:val="32"/>
          <w:szCs w:val="32"/>
        </w:rPr>
        <w:t>外的其他支出。</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（五）项目支出：</w:t>
      </w:r>
      <w:r>
        <w:rPr>
          <w:rFonts w:ascii="Times New Roman" w:eastAsia="方正仿宋_GBK" w:hAnsi="Times New Roman" w:hint="default"/>
          <w:sz w:val="32"/>
          <w:szCs w:val="32"/>
        </w:rPr>
        <w:t>指在基本支出之外为完成特定行政任务和事业发展目标所发生的支出。</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（六）</w:t>
      </w:r>
      <w:r>
        <w:rPr>
          <w:rFonts w:ascii="Times New Roman" w:eastAsia="方正楷体_GBK" w:hAnsi="Times New Roman" w:hint="default"/>
          <w:sz w:val="32"/>
          <w:szCs w:val="32"/>
        </w:rPr>
        <w:t>“</w:t>
      </w:r>
      <w:r>
        <w:rPr>
          <w:rFonts w:ascii="Times New Roman" w:eastAsia="方正楷体_GBK" w:hAnsi="Times New Roman" w:hint="default"/>
          <w:sz w:val="32"/>
          <w:szCs w:val="32"/>
        </w:rPr>
        <w:t>三公</w:t>
      </w:r>
      <w:r>
        <w:rPr>
          <w:rFonts w:ascii="Times New Roman" w:eastAsia="方正楷体_GBK" w:hAnsi="Times New Roman" w:hint="default"/>
          <w:sz w:val="32"/>
          <w:szCs w:val="32"/>
        </w:rPr>
        <w:t>”</w:t>
      </w:r>
      <w:r>
        <w:rPr>
          <w:rFonts w:ascii="Times New Roman" w:eastAsia="方正楷体_GBK" w:hAnsi="Times New Roman" w:hint="default"/>
          <w:sz w:val="32"/>
          <w:szCs w:val="32"/>
        </w:rPr>
        <w:t>经费：</w:t>
      </w:r>
      <w:r>
        <w:rPr>
          <w:rFonts w:ascii="Times New Roman" w:eastAsia="方正仿宋_GBK" w:hAnsi="Times New Roman" w:hint="default"/>
          <w:sz w:val="32"/>
          <w:szCs w:val="32"/>
        </w:rPr>
        <w:t>指用一般公共预算财政拨款安排的因公出国（境）费、公务用车购置及运行维护费、公务接待费。其中，因公出国（境）费反映单位公务出国（境）的国际旅费、国外城市间交通费、住宿费、伙食费</w:t>
      </w:r>
      <w:r>
        <w:rPr>
          <w:rFonts w:ascii="Times New Roman" w:eastAsia="方正仿宋_GBK" w:hAnsi="Times New Roman" w:hint="default"/>
          <w:sz w:val="32"/>
          <w:szCs w:val="32"/>
        </w:rPr>
        <w:t>、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lastRenderedPageBreak/>
        <w:t>（七）机关运行经费：</w:t>
      </w:r>
      <w:r>
        <w:rPr>
          <w:rFonts w:ascii="Times New Roman" w:eastAsia="方正仿宋_GBK" w:hAnsi="Times New Roman" w:hint="default"/>
          <w:sz w:val="32"/>
          <w:szCs w:val="32"/>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（八）工资福利支出（支出经济分类科目类级）：</w:t>
      </w:r>
      <w:r>
        <w:rPr>
          <w:rFonts w:ascii="Times New Roman" w:eastAsia="方正仿宋_GBK" w:hAnsi="Times New Roman" w:hint="default"/>
          <w:sz w:val="32"/>
          <w:szCs w:val="32"/>
        </w:rPr>
        <w:t>反映单位开支的在职职工和编制外长期聘用人员的各类劳动报酬，以及为上述人员缴纳的各项社会保险费等。</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（九）商品和服务支出（支出经济分类科目类级）：</w:t>
      </w:r>
      <w:r>
        <w:rPr>
          <w:rFonts w:ascii="Times New Roman" w:eastAsia="方正仿宋_GBK" w:hAnsi="Times New Roman" w:hint="default"/>
          <w:sz w:val="32"/>
          <w:szCs w:val="32"/>
        </w:rPr>
        <w:t>反映单位购买商品和服务的支出（不包括用于购置固定资产的支出、战略</w:t>
      </w:r>
      <w:r>
        <w:rPr>
          <w:rFonts w:ascii="Times New Roman" w:eastAsia="方正仿宋_GBK" w:hAnsi="Times New Roman" w:hint="default"/>
          <w:sz w:val="32"/>
          <w:szCs w:val="32"/>
        </w:rPr>
        <w:t>性和应急储备支出）。</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（十）对个人和家庭的补助（支出经济分类科目类级）：</w:t>
      </w:r>
      <w:r>
        <w:rPr>
          <w:rFonts w:ascii="Times New Roman" w:eastAsia="方正仿宋_GBK" w:hAnsi="Times New Roman" w:hint="default"/>
          <w:sz w:val="32"/>
          <w:szCs w:val="32"/>
        </w:rPr>
        <w:t>反映用于对个人和家庭的补助支出。</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（十一）其他资本性支出（支出经济分类科目类级）：</w:t>
      </w:r>
      <w:r>
        <w:rPr>
          <w:rFonts w:ascii="Times New Roman" w:eastAsia="方正仿宋_GBK" w:hAnsi="Times New Roman" w:hint="default"/>
          <w:sz w:val="32"/>
          <w:szCs w:val="32"/>
        </w:rPr>
        <w:t>反映非各级发展与改革部门集中安排的用于购置固定资产、战略性和应急性储备、土地和无形资产，以及构建基础设施、大型修缮和财政支持企业更新改造所发生的支出。</w:t>
      </w:r>
    </w:p>
    <w:p w:rsidR="00D05B95" w:rsidRDefault="00B7689C">
      <w:pPr>
        <w:spacing w:line="579" w:lineRule="exact"/>
        <w:ind w:firstLineChars="200" w:firstLine="640"/>
        <w:jc w:val="both"/>
        <w:rPr>
          <w:rFonts w:ascii="Times New Roman" w:eastAsia="方正黑体_GBK" w:hAnsi="Times New Roman" w:hint="default"/>
          <w:sz w:val="32"/>
          <w:szCs w:val="32"/>
        </w:rPr>
      </w:pPr>
      <w:r>
        <w:rPr>
          <w:rFonts w:ascii="Times New Roman" w:eastAsia="方正黑体_GBK" w:hAnsi="Times New Roman" w:hint="default"/>
          <w:sz w:val="32"/>
          <w:szCs w:val="32"/>
        </w:rPr>
        <w:t>七、决算公开联系方式及信息反馈渠道</w:t>
      </w:r>
    </w:p>
    <w:p w:rsidR="00D05B95" w:rsidRDefault="00B7689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本单位决算公开信息反馈和联系方式：</w:t>
      </w:r>
      <w:r>
        <w:rPr>
          <w:rFonts w:ascii="Times New Roman" w:eastAsia="方正仿宋_GBK" w:hAnsi="Times New Roman" w:hint="default"/>
          <w:sz w:val="32"/>
          <w:szCs w:val="32"/>
        </w:rPr>
        <w:t>023-79222688</w:t>
      </w:r>
      <w:r>
        <w:rPr>
          <w:rFonts w:ascii="Times New Roman" w:eastAsia="方正仿宋_GBK" w:hAnsi="Times New Roman" w:hint="default"/>
          <w:sz w:val="32"/>
          <w:szCs w:val="32"/>
        </w:rPr>
        <w:t>。</w:t>
      </w:r>
    </w:p>
    <w:p w:rsidR="00D05B95" w:rsidRDefault="00D05B95">
      <w:pPr>
        <w:pStyle w:val="1"/>
        <w:autoSpaceDE w:val="0"/>
        <w:ind w:firstLineChars="0" w:firstLine="0"/>
        <w:rPr>
          <w:rStyle w:val="a9"/>
          <w:rFonts w:ascii="Times New Roman" w:eastAsia="方正仿宋_GBK" w:hAnsi="Times New Roman"/>
          <w:sz w:val="32"/>
          <w:szCs w:val="32"/>
          <w:shd w:val="clear" w:color="auto" w:fill="FFFF00"/>
        </w:rPr>
        <w:sectPr w:rsidR="00D05B95">
          <w:footerReference w:type="default" r:id="rId7"/>
          <w:pgSz w:w="11915" w:h="16840"/>
          <w:pgMar w:top="2098" w:right="1474" w:bottom="1985" w:left="1588" w:header="851" w:footer="992" w:gutter="0"/>
          <w:pgNumType w:fmt="numberInDash"/>
          <w:cols w:space="720"/>
          <w:docGrid w:type="lines" w:linePitch="326"/>
        </w:sectPr>
      </w:pPr>
    </w:p>
    <w:p w:rsidR="00D05B95" w:rsidRDefault="00D05B95">
      <w:pPr>
        <w:rPr>
          <w:rFonts w:ascii="Times New Roman" w:hAnsi="Times New Roman" w:hint="default"/>
          <w:sz w:val="21"/>
          <w:szCs w:val="21"/>
        </w:rPr>
      </w:pPr>
    </w:p>
    <w:tbl>
      <w:tblPr>
        <w:tblW w:w="22292" w:type="dxa"/>
        <w:tblLayout w:type="fixed"/>
        <w:tblCellMar>
          <w:left w:w="0" w:type="dxa"/>
          <w:right w:w="0" w:type="dxa"/>
        </w:tblCellMar>
        <w:tblLook w:val="04A0" w:firstRow="1" w:lastRow="0" w:firstColumn="1" w:lastColumn="0" w:noHBand="0" w:noVBand="1"/>
      </w:tblPr>
      <w:tblGrid>
        <w:gridCol w:w="6581"/>
        <w:gridCol w:w="4358"/>
        <w:gridCol w:w="7536"/>
        <w:gridCol w:w="3817"/>
      </w:tblGrid>
      <w:tr w:rsidR="00D05B95">
        <w:trPr>
          <w:trHeight w:val="565"/>
        </w:trPr>
        <w:tc>
          <w:tcPr>
            <w:tcW w:w="22292" w:type="dxa"/>
            <w:gridSpan w:val="4"/>
            <w:tcBorders>
              <w:top w:val="nil"/>
              <w:left w:val="nil"/>
              <w:bottom w:val="nil"/>
              <w:right w:val="nil"/>
            </w:tcBorders>
            <w:shd w:val="clear" w:color="auto" w:fill="auto"/>
            <w:noWrap/>
            <w:tcMar>
              <w:top w:w="15" w:type="dxa"/>
              <w:left w:w="15" w:type="dxa"/>
              <w:right w:w="15" w:type="dxa"/>
            </w:tcMar>
            <w:vAlign w:val="bottom"/>
          </w:tcPr>
          <w:p w:rsidR="00D05B95" w:rsidRDefault="00B7689C">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t>收入支出决算总表</w:t>
            </w:r>
          </w:p>
        </w:tc>
      </w:tr>
      <w:tr w:rsidR="00D05B95">
        <w:trPr>
          <w:trHeight w:val="289"/>
        </w:trPr>
        <w:tc>
          <w:tcPr>
            <w:tcW w:w="6581"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4358" w:type="dxa"/>
            <w:tcBorders>
              <w:top w:val="nil"/>
              <w:left w:val="nil"/>
              <w:bottom w:val="nil"/>
              <w:right w:val="nil"/>
            </w:tcBorders>
            <w:shd w:val="clear" w:color="auto" w:fill="auto"/>
            <w:noWrap/>
            <w:tcMar>
              <w:top w:w="15" w:type="dxa"/>
              <w:left w:w="15" w:type="dxa"/>
              <w:right w:w="15" w:type="dxa"/>
            </w:tcMar>
            <w:vAlign w:val="bottom"/>
          </w:tcPr>
          <w:p w:rsidR="00D05B95" w:rsidRDefault="00D05B95">
            <w:pPr>
              <w:jc w:val="right"/>
              <w:rPr>
                <w:rFonts w:ascii="Times New Roman" w:hAnsi="Times New Roman" w:hint="default"/>
                <w:color w:val="000000"/>
                <w:sz w:val="20"/>
                <w:szCs w:val="20"/>
              </w:rPr>
            </w:pPr>
          </w:p>
        </w:tc>
        <w:tc>
          <w:tcPr>
            <w:tcW w:w="7536"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3817" w:type="dxa"/>
            <w:tcBorders>
              <w:top w:val="nil"/>
              <w:left w:val="nil"/>
              <w:bottom w:val="nil"/>
              <w:right w:val="nil"/>
            </w:tcBorders>
            <w:shd w:val="clear" w:color="auto" w:fill="auto"/>
            <w:noWrap/>
            <w:tcMar>
              <w:top w:w="15" w:type="dxa"/>
              <w:left w:w="15" w:type="dxa"/>
              <w:right w:w="15" w:type="dxa"/>
            </w:tcMar>
            <w:vAlign w:val="bottom"/>
          </w:tcPr>
          <w:p w:rsidR="00D05B95" w:rsidRDefault="00B7689C">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01</w:t>
            </w:r>
            <w:r>
              <w:rPr>
                <w:rFonts w:ascii="Times New Roman" w:hAnsi="Times New Roman" w:hint="default"/>
                <w:color w:val="000000"/>
                <w:lang w:bidi="ar"/>
              </w:rPr>
              <w:t>表</w:t>
            </w:r>
          </w:p>
        </w:tc>
      </w:tr>
      <w:tr w:rsidR="00D05B95">
        <w:trPr>
          <w:trHeight w:val="289"/>
        </w:trPr>
        <w:tc>
          <w:tcPr>
            <w:tcW w:w="6581" w:type="dxa"/>
            <w:tcBorders>
              <w:top w:val="nil"/>
              <w:left w:val="nil"/>
              <w:bottom w:val="nil"/>
              <w:right w:val="nil"/>
            </w:tcBorders>
            <w:shd w:val="clear" w:color="auto" w:fill="auto"/>
            <w:noWrap/>
            <w:tcMar>
              <w:top w:w="15" w:type="dxa"/>
              <w:left w:w="15" w:type="dxa"/>
              <w:right w:w="15" w:type="dxa"/>
            </w:tcMar>
            <w:vAlign w:val="bottom"/>
          </w:tcPr>
          <w:p w:rsidR="00D05B95" w:rsidRDefault="00B7689C">
            <w:pPr>
              <w:textAlignment w:val="bottom"/>
              <w:rPr>
                <w:rFonts w:ascii="Times New Roman" w:hAnsi="Times New Roman" w:hint="default"/>
                <w:color w:val="000000"/>
              </w:rPr>
            </w:pPr>
            <w:r>
              <w:rPr>
                <w:rFonts w:ascii="Times New Roman" w:hAnsi="Times New Roman" w:hint="default"/>
              </w:rPr>
              <w:t>公开单位：重庆市黔江区物流（口岸）服务中心</w:t>
            </w:r>
          </w:p>
        </w:tc>
        <w:tc>
          <w:tcPr>
            <w:tcW w:w="4358" w:type="dxa"/>
            <w:tcBorders>
              <w:top w:val="nil"/>
              <w:left w:val="nil"/>
              <w:bottom w:val="nil"/>
              <w:right w:val="nil"/>
            </w:tcBorders>
            <w:shd w:val="clear" w:color="auto" w:fill="auto"/>
            <w:noWrap/>
            <w:tcMar>
              <w:top w:w="15" w:type="dxa"/>
              <w:left w:w="15" w:type="dxa"/>
              <w:right w:w="15" w:type="dxa"/>
            </w:tcMar>
            <w:vAlign w:val="bottom"/>
          </w:tcPr>
          <w:p w:rsidR="00D05B95" w:rsidRDefault="00D05B95">
            <w:pPr>
              <w:jc w:val="right"/>
              <w:rPr>
                <w:rFonts w:ascii="Times New Roman" w:hAnsi="Times New Roman" w:hint="default"/>
                <w:color w:val="000000"/>
                <w:sz w:val="22"/>
                <w:szCs w:val="22"/>
              </w:rPr>
            </w:pPr>
          </w:p>
        </w:tc>
        <w:tc>
          <w:tcPr>
            <w:tcW w:w="7536"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3817" w:type="dxa"/>
            <w:tcBorders>
              <w:top w:val="nil"/>
              <w:left w:val="nil"/>
              <w:bottom w:val="nil"/>
              <w:right w:val="nil"/>
            </w:tcBorders>
            <w:shd w:val="clear" w:color="auto" w:fill="auto"/>
            <w:noWrap/>
            <w:tcMar>
              <w:top w:w="15" w:type="dxa"/>
              <w:left w:w="15" w:type="dxa"/>
              <w:right w:w="15" w:type="dxa"/>
            </w:tcMar>
            <w:vAlign w:val="bottom"/>
          </w:tcPr>
          <w:p w:rsidR="00D05B95" w:rsidRDefault="00B7689C">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D05B95">
        <w:trPr>
          <w:trHeight w:val="298"/>
        </w:trPr>
        <w:tc>
          <w:tcPr>
            <w:tcW w:w="10939" w:type="dxa"/>
            <w:gridSpan w:val="2"/>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收入</w:t>
            </w:r>
          </w:p>
        </w:tc>
        <w:tc>
          <w:tcPr>
            <w:tcW w:w="11353" w:type="dxa"/>
            <w:gridSpan w:val="2"/>
            <w:tcBorders>
              <w:top w:val="single" w:sz="4" w:space="0" w:color="000000"/>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支出</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w:t>
            </w:r>
          </w:p>
        </w:tc>
        <w:tc>
          <w:tcPr>
            <w:tcW w:w="4358"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决算数</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rPr>
              <w:t>功能分类科目</w:t>
            </w:r>
          </w:p>
        </w:tc>
        <w:tc>
          <w:tcPr>
            <w:tcW w:w="3817"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决算数</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一、一般公共预算财政拨款收入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78.66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一、一般公共服务支出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59.11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二、政府性基金预算财政拨款收入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二、外交支出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三、国有资本经营预算财政拨款收入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三、国防支出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四、上级补助收入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四、公共安全支出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五、事业收入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五、教育支出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六、经营收入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六、科学技术支出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七、附属单位上缴收入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七、文化旅游体育与传媒支出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八、其他收入</w:t>
            </w:r>
          </w:p>
        </w:tc>
        <w:tc>
          <w:tcPr>
            <w:tcW w:w="4358" w:type="dxa"/>
            <w:tcBorders>
              <w:top w:val="nil"/>
              <w:left w:val="nil"/>
              <w:bottom w:val="nil"/>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八、社会保障和就业支出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11.85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43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D05B95" w:rsidRDefault="00D05B95">
            <w:pPr>
              <w:jc w:val="right"/>
              <w:rPr>
                <w:rFonts w:ascii="Times New Roman" w:hAnsi="Times New Roman" w:hint="default"/>
                <w:color w:val="000000"/>
                <w:sz w:val="20"/>
                <w:szCs w:val="20"/>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九、卫生健康支出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4.02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43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D05B95" w:rsidRDefault="00D05B95">
            <w:pPr>
              <w:jc w:val="right"/>
              <w:rPr>
                <w:rFonts w:ascii="Times New Roman" w:hAnsi="Times New Roman" w:hint="default"/>
                <w:color w:val="000000"/>
                <w:sz w:val="20"/>
                <w:szCs w:val="20"/>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十、节能环保支出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43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D05B95" w:rsidRDefault="00D05B95">
            <w:pPr>
              <w:jc w:val="right"/>
              <w:rPr>
                <w:rFonts w:ascii="Times New Roman" w:hAnsi="Times New Roman" w:hint="default"/>
                <w:color w:val="000000"/>
                <w:sz w:val="20"/>
                <w:szCs w:val="20"/>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十一、城乡社区支出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43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D05B95" w:rsidRDefault="00D05B95">
            <w:pPr>
              <w:jc w:val="right"/>
              <w:rPr>
                <w:rFonts w:ascii="Times New Roman" w:hAnsi="Times New Roman" w:hint="default"/>
                <w:color w:val="000000"/>
                <w:sz w:val="20"/>
                <w:szCs w:val="20"/>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十二、农林水支出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43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十三、交通运输支出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十四、资源勘探工业信息等支出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十五、商业服务业等支出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十六、金融支出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十七、援助其他地区支出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十八、自然资源海洋气象等支出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十九、住房保障支出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3.67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二十、粮油物资储备支出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二十一、国有资本经营预算支出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二十二、灾害防治及应急管理支出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二十三、其他支出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二十四、债务还本支出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二十五、债务付息支出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二十六、抗疫特别国债安排的支出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本年收入合计</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78.66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本年支出合计</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78.66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使用非财政拨款结余和专用结余</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结余分配</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年初结转和结余</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年末结转和结余</w:t>
            </w:r>
          </w:p>
        </w:tc>
        <w:tc>
          <w:tcPr>
            <w:tcW w:w="3817"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07"/>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总计</w:t>
            </w:r>
          </w:p>
        </w:tc>
        <w:tc>
          <w:tcPr>
            <w:tcW w:w="43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78.66 </w:t>
            </w:r>
          </w:p>
        </w:tc>
        <w:tc>
          <w:tcPr>
            <w:tcW w:w="7536" w:type="dxa"/>
            <w:tcBorders>
              <w:top w:val="nil"/>
              <w:left w:val="nil"/>
              <w:bottom w:val="single" w:sz="4" w:space="0" w:color="000000"/>
              <w:right w:val="single" w:sz="4" w:space="0" w:color="auto"/>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总计</w:t>
            </w:r>
          </w:p>
        </w:tc>
        <w:tc>
          <w:tcPr>
            <w:tcW w:w="381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0"/>
                <w:szCs w:val="20"/>
              </w:rPr>
            </w:pPr>
            <w:r>
              <w:rPr>
                <w:rFonts w:ascii="Times New Roman" w:hAnsi="Times New Roman" w:hint="default"/>
                <w:color w:val="000000"/>
                <w:sz w:val="21"/>
                <w:szCs w:val="21"/>
                <w:lang w:bidi="ar"/>
              </w:rPr>
              <w:t xml:space="preserve">78.66 </w:t>
            </w:r>
          </w:p>
        </w:tc>
      </w:tr>
    </w:tbl>
    <w:p w:rsidR="00D05B95" w:rsidRDefault="00B7689C">
      <w:pPr>
        <w:rPr>
          <w:rFonts w:ascii="Times New Roman" w:hAnsi="Times New Roman" w:hint="default"/>
          <w:sz w:val="21"/>
          <w:szCs w:val="21"/>
          <w:lang w:bidi="ar"/>
        </w:rPr>
      </w:pPr>
      <w:r>
        <w:rPr>
          <w:rFonts w:ascii="Times New Roman" w:hAnsi="Times New Roman" w:hint="default"/>
          <w:sz w:val="21"/>
          <w:szCs w:val="21"/>
          <w:lang w:bidi="ar"/>
        </w:rPr>
        <w:t>备注：</w:t>
      </w:r>
      <w:r>
        <w:rPr>
          <w:rFonts w:ascii="Times New Roman" w:hAnsi="Times New Roman" w:hint="default"/>
          <w:sz w:val="21"/>
          <w:szCs w:val="21"/>
          <w:lang w:bidi="ar"/>
        </w:rPr>
        <w:t>1.</w:t>
      </w:r>
      <w:r>
        <w:rPr>
          <w:rFonts w:ascii="Times New Roman" w:hAnsi="Times New Roman" w:hint="default"/>
          <w:sz w:val="21"/>
          <w:szCs w:val="21"/>
          <w:lang w:bidi="ar"/>
        </w:rPr>
        <w:t>本表反映单位本年度的总收支和年末结转结余情况。</w:t>
      </w:r>
      <w:r>
        <w:rPr>
          <w:rFonts w:ascii="Times New Roman" w:hAnsi="Times New Roman" w:hint="default"/>
          <w:sz w:val="21"/>
          <w:szCs w:val="21"/>
          <w:lang w:bidi="ar"/>
        </w:rPr>
        <w:br/>
        <w:t xml:space="preserve">      2.</w:t>
      </w:r>
      <w:r>
        <w:rPr>
          <w:rFonts w:ascii="Times New Roman" w:hAnsi="Times New Roman" w:hint="default"/>
          <w:sz w:val="21"/>
          <w:szCs w:val="21"/>
          <w:lang w:bidi="ar"/>
        </w:rPr>
        <w:t>本套报表金额单位转换时可能存在尾数误差。</w:t>
      </w:r>
      <w:r>
        <w:rPr>
          <w:rFonts w:ascii="Times New Roman" w:hAnsi="Times New Roman" w:hint="default"/>
          <w:sz w:val="21"/>
          <w:szCs w:val="21"/>
          <w:lang w:bidi="ar"/>
        </w:rPr>
        <w:br/>
      </w:r>
      <w:r>
        <w:rPr>
          <w:rFonts w:ascii="Times New Roman" w:hAnsi="Times New Roman" w:hint="default"/>
          <w:sz w:val="21"/>
          <w:szCs w:val="21"/>
        </w:rPr>
        <w:br/>
      </w:r>
    </w:p>
    <w:p w:rsidR="00D05B95" w:rsidRDefault="00B7689C">
      <w:pPr>
        <w:rPr>
          <w:rFonts w:ascii="Times New Roman" w:hAnsi="Times New Roman" w:hint="default"/>
          <w:sz w:val="21"/>
          <w:szCs w:val="21"/>
          <w:lang w:bidi="ar"/>
        </w:rPr>
      </w:pPr>
      <w:r>
        <w:rPr>
          <w:rFonts w:ascii="Times New Roman" w:hAnsi="Times New Roman" w:hint="default"/>
          <w:sz w:val="21"/>
          <w:szCs w:val="21"/>
          <w:lang w:bidi="ar"/>
        </w:rPr>
        <w:br w:type="page"/>
      </w:r>
    </w:p>
    <w:p w:rsidR="00D05B95" w:rsidRDefault="00D05B95">
      <w:pPr>
        <w:rPr>
          <w:rFonts w:ascii="Times New Roman" w:hAnsi="Times New Roman" w:hint="default"/>
          <w:sz w:val="21"/>
          <w:szCs w:val="21"/>
          <w:lang w:bidi="ar"/>
        </w:rPr>
      </w:pPr>
    </w:p>
    <w:tbl>
      <w:tblPr>
        <w:tblW w:w="22220" w:type="dxa"/>
        <w:tblLayout w:type="fixed"/>
        <w:tblCellMar>
          <w:left w:w="0" w:type="dxa"/>
          <w:right w:w="0" w:type="dxa"/>
        </w:tblCellMar>
        <w:tblLook w:val="04A0" w:firstRow="1" w:lastRow="0" w:firstColumn="1" w:lastColumn="0" w:noHBand="0" w:noVBand="1"/>
      </w:tblPr>
      <w:tblGrid>
        <w:gridCol w:w="1941"/>
        <w:gridCol w:w="3317"/>
        <w:gridCol w:w="2412"/>
        <w:gridCol w:w="2399"/>
        <w:gridCol w:w="1963"/>
        <w:gridCol w:w="1963"/>
        <w:gridCol w:w="1963"/>
        <w:gridCol w:w="1963"/>
        <w:gridCol w:w="1963"/>
        <w:gridCol w:w="2336"/>
      </w:tblGrid>
      <w:tr w:rsidR="00D05B95">
        <w:trPr>
          <w:trHeight w:val="641"/>
        </w:trPr>
        <w:tc>
          <w:tcPr>
            <w:tcW w:w="22220" w:type="dxa"/>
            <w:gridSpan w:val="10"/>
            <w:tcBorders>
              <w:top w:val="nil"/>
              <w:left w:val="nil"/>
              <w:bottom w:val="nil"/>
              <w:right w:val="nil"/>
            </w:tcBorders>
            <w:shd w:val="clear" w:color="auto" w:fill="auto"/>
            <w:noWrap/>
            <w:tcMar>
              <w:top w:w="15" w:type="dxa"/>
              <w:left w:w="15" w:type="dxa"/>
              <w:right w:w="15" w:type="dxa"/>
            </w:tcMar>
            <w:vAlign w:val="bottom"/>
          </w:tcPr>
          <w:p w:rsidR="00D05B95" w:rsidRDefault="00B7689C">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t>收入决算表</w:t>
            </w:r>
          </w:p>
        </w:tc>
      </w:tr>
      <w:tr w:rsidR="00D05B95">
        <w:trPr>
          <w:trHeight w:val="328"/>
        </w:trPr>
        <w:tc>
          <w:tcPr>
            <w:tcW w:w="5258" w:type="dxa"/>
            <w:gridSpan w:val="2"/>
            <w:vMerge w:val="restart"/>
            <w:tcBorders>
              <w:top w:val="nil"/>
              <w:left w:val="nil"/>
              <w:right w:val="nil"/>
            </w:tcBorders>
            <w:shd w:val="clear" w:color="auto" w:fill="auto"/>
            <w:noWrap/>
            <w:tcMar>
              <w:top w:w="15" w:type="dxa"/>
              <w:left w:w="15" w:type="dxa"/>
              <w:right w:w="15" w:type="dxa"/>
            </w:tcMar>
            <w:vAlign w:val="bottom"/>
          </w:tcPr>
          <w:p w:rsidR="00D05B95" w:rsidRDefault="00B7689C">
            <w:pPr>
              <w:rPr>
                <w:rFonts w:ascii="Times New Roman" w:hAnsi="Times New Roman" w:hint="default"/>
                <w:color w:val="000000"/>
                <w:sz w:val="22"/>
                <w:szCs w:val="22"/>
              </w:rPr>
            </w:pPr>
            <w:r>
              <w:rPr>
                <w:rFonts w:ascii="Times New Roman" w:hAnsi="Times New Roman" w:hint="default"/>
              </w:rPr>
              <w:t>公开单位：重庆市黔江区物流（口岸）服务中心</w:t>
            </w:r>
          </w:p>
        </w:tc>
        <w:tc>
          <w:tcPr>
            <w:tcW w:w="2412"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399"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336" w:type="dxa"/>
            <w:tcBorders>
              <w:top w:val="nil"/>
              <w:left w:val="nil"/>
              <w:bottom w:val="nil"/>
              <w:right w:val="nil"/>
            </w:tcBorders>
            <w:shd w:val="clear" w:color="auto" w:fill="auto"/>
            <w:noWrap/>
            <w:tcMar>
              <w:top w:w="15" w:type="dxa"/>
              <w:left w:w="15" w:type="dxa"/>
              <w:right w:w="15" w:type="dxa"/>
            </w:tcMar>
            <w:vAlign w:val="bottom"/>
          </w:tcPr>
          <w:p w:rsidR="00D05B95" w:rsidRDefault="00B7689C">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02</w:t>
            </w:r>
            <w:r>
              <w:rPr>
                <w:rFonts w:ascii="Times New Roman" w:hAnsi="Times New Roman" w:hint="default"/>
                <w:color w:val="000000"/>
                <w:lang w:bidi="ar"/>
              </w:rPr>
              <w:t>表</w:t>
            </w:r>
          </w:p>
        </w:tc>
      </w:tr>
      <w:tr w:rsidR="00D05B95">
        <w:trPr>
          <w:trHeight w:val="328"/>
        </w:trPr>
        <w:tc>
          <w:tcPr>
            <w:tcW w:w="5258" w:type="dxa"/>
            <w:gridSpan w:val="2"/>
            <w:vMerge/>
            <w:tcBorders>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2412"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2399"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2336" w:type="dxa"/>
            <w:tcBorders>
              <w:top w:val="nil"/>
              <w:left w:val="nil"/>
              <w:bottom w:val="nil"/>
              <w:right w:val="nil"/>
            </w:tcBorders>
            <w:shd w:val="clear" w:color="auto" w:fill="auto"/>
            <w:noWrap/>
            <w:tcMar>
              <w:top w:w="15" w:type="dxa"/>
              <w:left w:w="15" w:type="dxa"/>
              <w:right w:w="15" w:type="dxa"/>
            </w:tcMar>
            <w:vAlign w:val="bottom"/>
          </w:tcPr>
          <w:p w:rsidR="00D05B95" w:rsidRDefault="00B7689C">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D05B95">
        <w:trPr>
          <w:trHeight w:val="431"/>
        </w:trPr>
        <w:tc>
          <w:tcPr>
            <w:tcW w:w="5258" w:type="dxa"/>
            <w:gridSpan w:val="2"/>
            <w:tcBorders>
              <w:top w:val="single" w:sz="4" w:space="0" w:color="000000"/>
              <w:left w:val="single" w:sz="4" w:space="0" w:color="000000"/>
              <w:bottom w:val="single" w:sz="4" w:space="0" w:color="000000"/>
              <w:right w:val="nil"/>
            </w:tcBorders>
            <w:shd w:val="clear" w:color="auto" w:fill="D0CECE"/>
            <w:noWrap/>
            <w:tcMar>
              <w:top w:w="15" w:type="dxa"/>
              <w:left w:w="15" w:type="dxa"/>
              <w:right w:w="15" w:type="dxa"/>
            </w:tcMar>
            <w:vAlign w:val="bottom"/>
          </w:tcPr>
          <w:p w:rsidR="00D05B95" w:rsidRDefault="00B7689C">
            <w:pPr>
              <w:jc w:val="center"/>
              <w:textAlignment w:val="bottom"/>
              <w:rPr>
                <w:rFonts w:ascii="Times New Roman" w:hAnsi="Times New Roman" w:hint="default"/>
                <w:b/>
                <w:color w:val="000000"/>
                <w:sz w:val="22"/>
                <w:szCs w:val="22"/>
              </w:rPr>
            </w:pPr>
            <w:r>
              <w:rPr>
                <w:rFonts w:ascii="Times New Roman" w:hAnsi="Times New Roman" w:hint="default"/>
                <w:b/>
                <w:color w:val="000000"/>
                <w:sz w:val="22"/>
                <w:szCs w:val="22"/>
                <w:lang w:bidi="ar"/>
              </w:rPr>
              <w:t>项目</w:t>
            </w:r>
          </w:p>
        </w:tc>
        <w:tc>
          <w:tcPr>
            <w:tcW w:w="2412"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本年收入合计</w:t>
            </w:r>
          </w:p>
        </w:tc>
        <w:tc>
          <w:tcPr>
            <w:tcW w:w="2399"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财政拨款收入</w:t>
            </w:r>
          </w:p>
        </w:tc>
        <w:tc>
          <w:tcPr>
            <w:tcW w:w="196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上级补助收入</w:t>
            </w:r>
          </w:p>
        </w:tc>
        <w:tc>
          <w:tcPr>
            <w:tcW w:w="3926" w:type="dxa"/>
            <w:gridSpan w:val="2"/>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D05B95" w:rsidRDefault="00B7689C">
            <w:pPr>
              <w:jc w:val="center"/>
              <w:textAlignment w:val="bottom"/>
              <w:rPr>
                <w:rFonts w:ascii="Times New Roman" w:hAnsi="Times New Roman" w:hint="default"/>
                <w:b/>
                <w:color w:val="000000"/>
                <w:sz w:val="22"/>
                <w:szCs w:val="22"/>
              </w:rPr>
            </w:pPr>
            <w:r>
              <w:rPr>
                <w:rFonts w:ascii="Times New Roman" w:hAnsi="Times New Roman" w:hint="default"/>
                <w:b/>
                <w:color w:val="000000"/>
                <w:sz w:val="22"/>
                <w:szCs w:val="22"/>
                <w:lang w:bidi="ar"/>
              </w:rPr>
              <w:t>事业收入</w:t>
            </w:r>
          </w:p>
        </w:tc>
        <w:tc>
          <w:tcPr>
            <w:tcW w:w="196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经营收入</w:t>
            </w:r>
          </w:p>
        </w:tc>
        <w:tc>
          <w:tcPr>
            <w:tcW w:w="196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附属单位上缴收入</w:t>
            </w:r>
          </w:p>
        </w:tc>
        <w:tc>
          <w:tcPr>
            <w:tcW w:w="2336"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其他收入</w:t>
            </w:r>
          </w:p>
        </w:tc>
      </w:tr>
      <w:tr w:rsidR="00D05B95">
        <w:trPr>
          <w:trHeight w:val="334"/>
        </w:trPr>
        <w:tc>
          <w:tcPr>
            <w:tcW w:w="1941" w:type="dxa"/>
            <w:vMerge w:val="restart"/>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功能分类科目编码</w:t>
            </w:r>
          </w:p>
        </w:tc>
        <w:tc>
          <w:tcPr>
            <w:tcW w:w="3317" w:type="dxa"/>
            <w:vMerge w:val="restart"/>
            <w:tcBorders>
              <w:top w:val="nil"/>
              <w:left w:val="nil"/>
              <w:bottom w:val="single" w:sz="4" w:space="0" w:color="000000"/>
              <w:right w:val="nil"/>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项目（按</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项</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级功能分类科目）</w:t>
            </w:r>
          </w:p>
        </w:tc>
        <w:tc>
          <w:tcPr>
            <w:tcW w:w="2412"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39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196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小计</w:t>
            </w:r>
          </w:p>
        </w:tc>
        <w:tc>
          <w:tcPr>
            <w:tcW w:w="196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其中：教育收费</w:t>
            </w: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33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r>
      <w:tr w:rsidR="00D05B95">
        <w:trPr>
          <w:trHeight w:val="334"/>
        </w:trPr>
        <w:tc>
          <w:tcPr>
            <w:tcW w:w="1941"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3317"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412"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39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33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r>
      <w:tr w:rsidR="00D05B95">
        <w:trPr>
          <w:trHeight w:val="334"/>
        </w:trPr>
        <w:tc>
          <w:tcPr>
            <w:tcW w:w="1941"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3317"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412"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39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33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r>
      <w:tr w:rsidR="00D05B95">
        <w:trPr>
          <w:trHeight w:val="334"/>
        </w:trPr>
        <w:tc>
          <w:tcPr>
            <w:tcW w:w="1941"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3317"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412"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39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33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r>
      <w:tr w:rsidR="00D05B95">
        <w:trPr>
          <w:trHeight w:val="338"/>
        </w:trPr>
        <w:tc>
          <w:tcPr>
            <w:tcW w:w="5258" w:type="dxa"/>
            <w:gridSpan w:val="2"/>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241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78.66 </w:t>
            </w:r>
          </w:p>
        </w:tc>
        <w:tc>
          <w:tcPr>
            <w:tcW w:w="23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78.66 </w:t>
            </w:r>
          </w:p>
        </w:tc>
        <w:tc>
          <w:tcPr>
            <w:tcW w:w="1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1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1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1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1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r>
      <w:tr w:rsidR="00D05B95">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一般公共服务支出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59.11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59.11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20113</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商贸事务</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59.11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59.11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2011350</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事业运行</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59.11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59.11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社会保障和就业支出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11.85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11.85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20801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人力资源和社会保障管理事务</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0.90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0.90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2080116</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引进人才费用</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0.90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0.90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20805</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行政事业单位养老支出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10.95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10.95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2080505</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机关事业单位基本养老保险缴费支出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7.30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7.30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2080506</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机关事业单位职业年金缴费支出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3.65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3.65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210</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卫生健康支出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4.02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4.02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21011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行政事业单位医疗</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4.02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4.02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2101102</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事业单位医疗</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3.06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3.06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2101199</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其他行政事业单位医疗支出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0.96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0.96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住房保障支出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3.67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3.67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22102</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住房改革支出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3.67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3.67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2210201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住房公积金</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3.67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3.67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bl>
    <w:p w:rsidR="00D05B95" w:rsidRDefault="00B7689C">
      <w:pPr>
        <w:ind w:left="630" w:hangingChars="300" w:hanging="630"/>
        <w:rPr>
          <w:rFonts w:ascii="Times New Roman" w:hAnsi="Times New Roman" w:hint="default"/>
          <w:sz w:val="21"/>
          <w:szCs w:val="21"/>
          <w:lang w:bidi="ar"/>
        </w:rPr>
      </w:pPr>
      <w:r>
        <w:rPr>
          <w:rFonts w:ascii="Times New Roman" w:hAnsi="Times New Roman" w:hint="default"/>
          <w:sz w:val="21"/>
          <w:szCs w:val="21"/>
          <w:lang w:bidi="ar"/>
        </w:rPr>
        <w:t>备注：</w:t>
      </w:r>
      <w:r>
        <w:rPr>
          <w:rFonts w:ascii="Times New Roman" w:hAnsi="Times New Roman" w:hint="default"/>
          <w:sz w:val="21"/>
          <w:szCs w:val="21"/>
          <w:lang w:bidi="ar"/>
        </w:rPr>
        <w:t>1.</w:t>
      </w:r>
      <w:r>
        <w:rPr>
          <w:rFonts w:ascii="Times New Roman" w:hAnsi="Times New Roman" w:hint="default"/>
          <w:sz w:val="21"/>
          <w:szCs w:val="21"/>
          <w:lang w:bidi="ar"/>
        </w:rPr>
        <w:t>本表反映单位本年度取得的各项收入情况。</w:t>
      </w:r>
      <w:r>
        <w:rPr>
          <w:rFonts w:ascii="Times New Roman" w:hAnsi="Times New Roman" w:hint="default"/>
          <w:sz w:val="21"/>
          <w:szCs w:val="21"/>
          <w:lang w:bidi="ar"/>
        </w:rPr>
        <w:br/>
        <w:t>2.</w:t>
      </w:r>
      <w:r>
        <w:rPr>
          <w:rFonts w:ascii="Times New Roman" w:hAnsi="Times New Roman" w:hint="default"/>
          <w:sz w:val="21"/>
          <w:szCs w:val="21"/>
          <w:lang w:bidi="ar"/>
        </w:rPr>
        <w:t>本套报表金额单位转换时可能存在尾数误差。</w:t>
      </w:r>
      <w:r>
        <w:rPr>
          <w:rFonts w:ascii="Times New Roman" w:hAnsi="Times New Roman" w:hint="default"/>
          <w:sz w:val="21"/>
          <w:szCs w:val="21"/>
          <w:lang w:bidi="ar"/>
        </w:rPr>
        <w:br/>
      </w:r>
      <w:r>
        <w:rPr>
          <w:rFonts w:ascii="Times New Roman" w:hAnsi="Times New Roman" w:hint="default"/>
          <w:sz w:val="21"/>
          <w:szCs w:val="21"/>
          <w:lang w:bidi="ar"/>
        </w:rPr>
        <w:br/>
      </w:r>
    </w:p>
    <w:p w:rsidR="00D05B95" w:rsidRDefault="00B7689C">
      <w:pPr>
        <w:rPr>
          <w:rFonts w:ascii="Times New Roman" w:hAnsi="Times New Roman" w:hint="default"/>
          <w:sz w:val="21"/>
          <w:szCs w:val="21"/>
          <w:lang w:bidi="ar"/>
        </w:rPr>
      </w:pPr>
      <w:r>
        <w:rPr>
          <w:rFonts w:ascii="Times New Roman" w:hAnsi="Times New Roman" w:hint="default"/>
          <w:sz w:val="21"/>
          <w:szCs w:val="21"/>
          <w:lang w:bidi="ar"/>
        </w:rPr>
        <w:br w:type="page"/>
      </w:r>
    </w:p>
    <w:p w:rsidR="00D05B95" w:rsidRDefault="00D05B95">
      <w:pPr>
        <w:ind w:left="630" w:hangingChars="300" w:hanging="630"/>
        <w:rPr>
          <w:rFonts w:ascii="Times New Roman" w:hAnsi="Times New Roman" w:hint="default"/>
          <w:sz w:val="21"/>
          <w:szCs w:val="21"/>
          <w:lang w:bidi="ar"/>
        </w:rPr>
      </w:pPr>
    </w:p>
    <w:tbl>
      <w:tblPr>
        <w:tblW w:w="22180" w:type="dxa"/>
        <w:tblLayout w:type="fixed"/>
        <w:tblCellMar>
          <w:left w:w="0" w:type="dxa"/>
          <w:right w:w="0" w:type="dxa"/>
        </w:tblCellMar>
        <w:tblLook w:val="04A0" w:firstRow="1" w:lastRow="0" w:firstColumn="1" w:lastColumn="0" w:noHBand="0" w:noVBand="1"/>
      </w:tblPr>
      <w:tblGrid>
        <w:gridCol w:w="2082"/>
        <w:gridCol w:w="3528"/>
        <w:gridCol w:w="2760"/>
        <w:gridCol w:w="2760"/>
        <w:gridCol w:w="2760"/>
        <w:gridCol w:w="2760"/>
        <w:gridCol w:w="2760"/>
        <w:gridCol w:w="2770"/>
      </w:tblGrid>
      <w:tr w:rsidR="00D05B95">
        <w:trPr>
          <w:trHeight w:val="654"/>
        </w:trPr>
        <w:tc>
          <w:tcPr>
            <w:tcW w:w="22180" w:type="dxa"/>
            <w:gridSpan w:val="8"/>
            <w:tcBorders>
              <w:top w:val="nil"/>
              <w:left w:val="nil"/>
              <w:bottom w:val="nil"/>
              <w:right w:val="nil"/>
            </w:tcBorders>
            <w:shd w:val="clear" w:color="auto" w:fill="auto"/>
            <w:noWrap/>
            <w:tcMar>
              <w:top w:w="15" w:type="dxa"/>
              <w:left w:w="15" w:type="dxa"/>
              <w:right w:w="15" w:type="dxa"/>
            </w:tcMar>
            <w:vAlign w:val="bottom"/>
          </w:tcPr>
          <w:p w:rsidR="00D05B95" w:rsidRDefault="00B7689C">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t>支出决算表</w:t>
            </w:r>
          </w:p>
        </w:tc>
      </w:tr>
      <w:tr w:rsidR="00D05B95">
        <w:trPr>
          <w:trHeight w:val="342"/>
        </w:trPr>
        <w:tc>
          <w:tcPr>
            <w:tcW w:w="5610" w:type="dxa"/>
            <w:gridSpan w:val="2"/>
            <w:vMerge w:val="restart"/>
            <w:tcBorders>
              <w:top w:val="nil"/>
              <w:left w:val="nil"/>
              <w:right w:val="nil"/>
            </w:tcBorders>
            <w:shd w:val="clear" w:color="auto" w:fill="auto"/>
            <w:noWrap/>
            <w:tcMar>
              <w:top w:w="15" w:type="dxa"/>
              <w:left w:w="15" w:type="dxa"/>
              <w:right w:w="15" w:type="dxa"/>
            </w:tcMar>
            <w:vAlign w:val="bottom"/>
          </w:tcPr>
          <w:p w:rsidR="00D05B95" w:rsidRDefault="00B7689C">
            <w:pPr>
              <w:rPr>
                <w:rFonts w:ascii="Times New Roman" w:hAnsi="Times New Roman" w:hint="default"/>
                <w:color w:val="000000"/>
                <w:sz w:val="20"/>
                <w:szCs w:val="20"/>
              </w:rPr>
            </w:pPr>
            <w:r>
              <w:rPr>
                <w:rFonts w:ascii="Times New Roman" w:eastAsiaTheme="minorEastAsia" w:hAnsi="Times New Roman" w:hint="default"/>
              </w:rPr>
              <w:t>公开单位</w:t>
            </w:r>
            <w:r>
              <w:rPr>
                <w:rFonts w:ascii="Times New Roman" w:eastAsiaTheme="minorEastAsia" w:hAnsi="Times New Roman" w:hint="default"/>
                <w:color w:val="000000"/>
                <w:lang w:bidi="ar"/>
              </w:rPr>
              <w:t>：</w:t>
            </w:r>
            <w:r>
              <w:rPr>
                <w:rFonts w:ascii="Times New Roman" w:eastAsiaTheme="minorEastAsia" w:hAnsi="Times New Roman" w:hint="default"/>
                <w:color w:val="000000"/>
                <w:lang w:bidi="ar"/>
              </w:rPr>
              <w:t xml:space="preserve"> </w:t>
            </w:r>
            <w:r>
              <w:rPr>
                <w:rFonts w:ascii="Times New Roman" w:hAnsi="Times New Roman" w:hint="default"/>
                <w:color w:val="000000"/>
              </w:rPr>
              <w:t>重庆市黔江区物流（口岸）服务中心</w:t>
            </w:r>
            <w:r>
              <w:rPr>
                <w:rFonts w:ascii="Times New Roman" w:hAnsi="Times New Roman" w:hint="default"/>
                <w:color w:val="000000"/>
              </w:rPr>
              <w:t xml:space="preserve"> </w:t>
            </w:r>
          </w:p>
        </w:tc>
        <w:tc>
          <w:tcPr>
            <w:tcW w:w="2760"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770" w:type="dxa"/>
            <w:tcBorders>
              <w:top w:val="nil"/>
              <w:left w:val="nil"/>
              <w:bottom w:val="nil"/>
              <w:right w:val="nil"/>
            </w:tcBorders>
            <w:shd w:val="clear" w:color="auto" w:fill="auto"/>
            <w:noWrap/>
            <w:tcMar>
              <w:top w:w="15" w:type="dxa"/>
              <w:left w:w="15" w:type="dxa"/>
              <w:right w:w="15" w:type="dxa"/>
            </w:tcMar>
            <w:vAlign w:val="bottom"/>
          </w:tcPr>
          <w:p w:rsidR="00D05B95" w:rsidRDefault="00B7689C">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03</w:t>
            </w:r>
            <w:r>
              <w:rPr>
                <w:rFonts w:ascii="Times New Roman" w:hAnsi="Times New Roman" w:hint="default"/>
                <w:color w:val="000000"/>
                <w:lang w:bidi="ar"/>
              </w:rPr>
              <w:t>表</w:t>
            </w:r>
          </w:p>
        </w:tc>
      </w:tr>
      <w:tr w:rsidR="00D05B95">
        <w:trPr>
          <w:trHeight w:val="342"/>
        </w:trPr>
        <w:tc>
          <w:tcPr>
            <w:tcW w:w="5610" w:type="dxa"/>
            <w:gridSpan w:val="2"/>
            <w:vMerge/>
            <w:tcBorders>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2770" w:type="dxa"/>
            <w:tcBorders>
              <w:top w:val="nil"/>
              <w:left w:val="nil"/>
              <w:bottom w:val="nil"/>
              <w:right w:val="nil"/>
            </w:tcBorders>
            <w:shd w:val="clear" w:color="auto" w:fill="auto"/>
            <w:noWrap/>
            <w:tcMar>
              <w:top w:w="15" w:type="dxa"/>
              <w:left w:w="15" w:type="dxa"/>
              <w:right w:w="15" w:type="dxa"/>
            </w:tcMar>
            <w:vAlign w:val="bottom"/>
          </w:tcPr>
          <w:p w:rsidR="00D05B95" w:rsidRDefault="00B7689C">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D05B95">
        <w:trPr>
          <w:trHeight w:val="362"/>
        </w:trPr>
        <w:tc>
          <w:tcPr>
            <w:tcW w:w="5610" w:type="dxa"/>
            <w:gridSpan w:val="2"/>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D05B95" w:rsidRDefault="00B7689C">
            <w:pPr>
              <w:jc w:val="center"/>
              <w:textAlignment w:val="bottom"/>
              <w:rPr>
                <w:rFonts w:ascii="Times New Roman" w:hAnsi="Times New Roman" w:hint="default"/>
                <w:b/>
                <w:color w:val="000000"/>
                <w:sz w:val="22"/>
                <w:szCs w:val="22"/>
              </w:rPr>
            </w:pPr>
            <w:r>
              <w:rPr>
                <w:rFonts w:ascii="Times New Roman" w:hAnsi="Times New Roman" w:hint="default"/>
                <w:b/>
                <w:color w:val="000000"/>
                <w:sz w:val="22"/>
                <w:szCs w:val="22"/>
                <w:lang w:bidi="ar"/>
              </w:rPr>
              <w:t>项目</w:t>
            </w:r>
          </w:p>
        </w:tc>
        <w:tc>
          <w:tcPr>
            <w:tcW w:w="276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本年支出合计</w:t>
            </w:r>
          </w:p>
        </w:tc>
        <w:tc>
          <w:tcPr>
            <w:tcW w:w="276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基本支出</w:t>
            </w:r>
          </w:p>
        </w:tc>
        <w:tc>
          <w:tcPr>
            <w:tcW w:w="276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项目支出</w:t>
            </w:r>
          </w:p>
        </w:tc>
        <w:tc>
          <w:tcPr>
            <w:tcW w:w="276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上缴上级支出</w:t>
            </w:r>
          </w:p>
        </w:tc>
        <w:tc>
          <w:tcPr>
            <w:tcW w:w="276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经营支出</w:t>
            </w:r>
          </w:p>
        </w:tc>
        <w:tc>
          <w:tcPr>
            <w:tcW w:w="277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对附属单位补助支出</w:t>
            </w:r>
          </w:p>
        </w:tc>
      </w:tr>
      <w:tr w:rsidR="00D05B95">
        <w:trPr>
          <w:trHeight w:val="338"/>
        </w:trPr>
        <w:tc>
          <w:tcPr>
            <w:tcW w:w="2082" w:type="dxa"/>
            <w:vMerge w:val="restart"/>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功能分类科目编码</w:t>
            </w:r>
          </w:p>
        </w:tc>
        <w:tc>
          <w:tcPr>
            <w:tcW w:w="3528" w:type="dxa"/>
            <w:vMerge w:val="restart"/>
            <w:tcBorders>
              <w:top w:val="nil"/>
              <w:left w:val="nil"/>
              <w:bottom w:val="single" w:sz="4" w:space="0" w:color="000000"/>
              <w:right w:val="nil"/>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项目（按</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项</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级功能分类科目）</w:t>
            </w: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7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r>
      <w:tr w:rsidR="00D05B95">
        <w:trPr>
          <w:trHeight w:val="338"/>
        </w:trPr>
        <w:tc>
          <w:tcPr>
            <w:tcW w:w="2082"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3528"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7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r>
      <w:tr w:rsidR="00D05B95">
        <w:trPr>
          <w:trHeight w:val="338"/>
        </w:trPr>
        <w:tc>
          <w:tcPr>
            <w:tcW w:w="2082"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3528"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7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r>
      <w:tr w:rsidR="00D05B95">
        <w:trPr>
          <w:trHeight w:val="338"/>
        </w:trPr>
        <w:tc>
          <w:tcPr>
            <w:tcW w:w="2082"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3528"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7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r>
      <w:tr w:rsidR="00D05B95">
        <w:trPr>
          <w:trHeight w:val="362"/>
        </w:trPr>
        <w:tc>
          <w:tcPr>
            <w:tcW w:w="5610" w:type="dxa"/>
            <w:gridSpan w:val="2"/>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27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78.66 </w:t>
            </w:r>
          </w:p>
        </w:tc>
        <w:tc>
          <w:tcPr>
            <w:tcW w:w="27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77.76 </w:t>
            </w:r>
          </w:p>
        </w:tc>
        <w:tc>
          <w:tcPr>
            <w:tcW w:w="27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0.90 </w:t>
            </w:r>
          </w:p>
        </w:tc>
        <w:tc>
          <w:tcPr>
            <w:tcW w:w="27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7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7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r>
      <w:tr w:rsidR="00D05B95">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一般公共服务支出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59.11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59.11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20113</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商贸事务</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59.11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59.11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2011350</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事业运行</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59.11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59.11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社会保障和就业支出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11.85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10.95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0.90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20801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人力资源和社会保障管理事务</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0.90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0.90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2080116</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引进人才费用</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0.90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0.90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20805</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行政事业单位养老支出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10.95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10.95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2080505</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机关事业单位基本养老保险缴费支出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7.30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7.30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2080506</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机关事业单位职业年金缴费支出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3.65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3.65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210</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卫生健康支出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4.02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4.02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21011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行政事业单位医疗</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4.02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4.02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2101102</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事业单位医疗</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3.06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3.06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2101199</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其他行政事业单位医疗支出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0.96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0.96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住房保障支出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3.67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3.67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22102</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住房改革支出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3.67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3.67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D05B95">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2210201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住房公积金</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3.67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3.67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bl>
    <w:p w:rsidR="00D05B95" w:rsidRDefault="00B7689C">
      <w:pPr>
        <w:rPr>
          <w:rFonts w:ascii="Times New Roman" w:hAnsi="Times New Roman" w:hint="default"/>
          <w:sz w:val="21"/>
          <w:szCs w:val="21"/>
        </w:rPr>
      </w:pPr>
      <w:r>
        <w:rPr>
          <w:rFonts w:ascii="Times New Roman" w:hAnsi="Times New Roman" w:hint="default"/>
          <w:sz w:val="21"/>
          <w:szCs w:val="21"/>
          <w:lang w:bidi="ar"/>
        </w:rPr>
        <w:t>备注：</w:t>
      </w:r>
      <w:r>
        <w:rPr>
          <w:rFonts w:ascii="Times New Roman" w:hAnsi="Times New Roman" w:hint="default"/>
          <w:sz w:val="21"/>
          <w:szCs w:val="21"/>
          <w:lang w:bidi="ar"/>
        </w:rPr>
        <w:t>1.</w:t>
      </w:r>
      <w:r>
        <w:rPr>
          <w:rFonts w:ascii="Times New Roman" w:hAnsi="Times New Roman" w:hint="default"/>
          <w:sz w:val="21"/>
          <w:szCs w:val="21"/>
          <w:lang w:bidi="ar"/>
        </w:rPr>
        <w:t>本表反映单位本年度取得的各项收入情况。</w:t>
      </w:r>
      <w:r>
        <w:rPr>
          <w:rFonts w:ascii="Times New Roman" w:hAnsi="Times New Roman" w:hint="default"/>
          <w:sz w:val="21"/>
          <w:szCs w:val="21"/>
          <w:lang w:bidi="ar"/>
        </w:rPr>
        <w:br/>
        <w:t xml:space="preserve">      2.</w:t>
      </w:r>
      <w:r>
        <w:rPr>
          <w:rFonts w:ascii="Times New Roman" w:hAnsi="Times New Roman" w:hint="default"/>
          <w:sz w:val="21"/>
          <w:szCs w:val="21"/>
          <w:lang w:bidi="ar"/>
        </w:rPr>
        <w:t>本套报表金额单位转换时可能存在尾数误差。</w:t>
      </w:r>
      <w:r>
        <w:rPr>
          <w:rFonts w:ascii="Times New Roman" w:hAnsi="Times New Roman" w:hint="default"/>
          <w:sz w:val="21"/>
          <w:szCs w:val="21"/>
          <w:lang w:bidi="ar"/>
        </w:rPr>
        <w:br/>
      </w:r>
      <w:r>
        <w:rPr>
          <w:rFonts w:ascii="Times New Roman" w:hAnsi="Times New Roman" w:hint="default"/>
          <w:sz w:val="21"/>
          <w:szCs w:val="21"/>
        </w:rPr>
        <w:br/>
      </w:r>
    </w:p>
    <w:p w:rsidR="00D05B95" w:rsidRDefault="00B7689C">
      <w:pPr>
        <w:rPr>
          <w:rFonts w:ascii="Times New Roman" w:hAnsi="Times New Roman" w:hint="default"/>
          <w:sz w:val="21"/>
          <w:szCs w:val="21"/>
          <w:lang w:bidi="ar"/>
        </w:rPr>
      </w:pPr>
      <w:r>
        <w:rPr>
          <w:rFonts w:ascii="Times New Roman" w:hAnsi="Times New Roman" w:hint="default"/>
          <w:sz w:val="21"/>
          <w:szCs w:val="21"/>
          <w:lang w:bidi="ar"/>
        </w:rPr>
        <w:br w:type="page"/>
      </w:r>
    </w:p>
    <w:p w:rsidR="00D05B95" w:rsidRDefault="00D05B95">
      <w:pPr>
        <w:rPr>
          <w:rFonts w:ascii="Times New Roman" w:hAnsi="Times New Roman" w:hint="default"/>
          <w:sz w:val="21"/>
          <w:szCs w:val="21"/>
          <w:lang w:bidi="ar"/>
        </w:rPr>
      </w:pPr>
    </w:p>
    <w:tbl>
      <w:tblPr>
        <w:tblW w:w="22360" w:type="dxa"/>
        <w:tblLayout w:type="fixed"/>
        <w:tblCellMar>
          <w:left w:w="0" w:type="dxa"/>
          <w:right w:w="0" w:type="dxa"/>
        </w:tblCellMar>
        <w:tblLook w:val="04A0" w:firstRow="1" w:lastRow="0" w:firstColumn="1" w:lastColumn="0" w:noHBand="0" w:noVBand="1"/>
      </w:tblPr>
      <w:tblGrid>
        <w:gridCol w:w="4068"/>
        <w:gridCol w:w="2674"/>
        <w:gridCol w:w="3752"/>
        <w:gridCol w:w="2952"/>
        <w:gridCol w:w="2952"/>
        <w:gridCol w:w="2952"/>
        <w:gridCol w:w="3010"/>
      </w:tblGrid>
      <w:tr w:rsidR="00D05B95">
        <w:trPr>
          <w:trHeight w:val="90"/>
        </w:trPr>
        <w:tc>
          <w:tcPr>
            <w:tcW w:w="22360" w:type="dxa"/>
            <w:gridSpan w:val="7"/>
            <w:tcBorders>
              <w:top w:val="nil"/>
              <w:left w:val="nil"/>
              <w:bottom w:val="nil"/>
              <w:right w:val="nil"/>
            </w:tcBorders>
            <w:shd w:val="clear" w:color="auto" w:fill="auto"/>
            <w:noWrap/>
            <w:tcMar>
              <w:top w:w="15" w:type="dxa"/>
              <w:left w:w="15" w:type="dxa"/>
              <w:right w:w="15" w:type="dxa"/>
            </w:tcMar>
            <w:vAlign w:val="bottom"/>
          </w:tcPr>
          <w:p w:rsidR="00D05B95" w:rsidRDefault="00B7689C">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t>财政拨款收入支出决算总表</w:t>
            </w:r>
          </w:p>
        </w:tc>
      </w:tr>
      <w:tr w:rsidR="00D05B95">
        <w:trPr>
          <w:trHeight w:val="90"/>
        </w:trPr>
        <w:tc>
          <w:tcPr>
            <w:tcW w:w="6742" w:type="dxa"/>
            <w:gridSpan w:val="2"/>
            <w:vMerge w:val="restart"/>
            <w:tcBorders>
              <w:top w:val="nil"/>
              <w:left w:val="nil"/>
              <w:right w:val="nil"/>
            </w:tcBorders>
            <w:shd w:val="clear" w:color="auto" w:fill="auto"/>
            <w:noWrap/>
            <w:tcMar>
              <w:top w:w="15" w:type="dxa"/>
              <w:left w:w="15" w:type="dxa"/>
              <w:right w:w="15" w:type="dxa"/>
            </w:tcMar>
            <w:vAlign w:val="bottom"/>
          </w:tcPr>
          <w:p w:rsidR="00D05B95" w:rsidRDefault="00B7689C">
            <w:pPr>
              <w:rPr>
                <w:rFonts w:ascii="Times New Roman" w:hAnsi="Times New Roman" w:hint="default"/>
                <w:color w:val="000000"/>
                <w:sz w:val="22"/>
                <w:szCs w:val="22"/>
              </w:rPr>
            </w:pPr>
            <w:r>
              <w:rPr>
                <w:rFonts w:ascii="Times New Roman" w:eastAsiaTheme="minorEastAsia" w:hAnsi="Times New Roman" w:hint="default"/>
              </w:rPr>
              <w:t>公开单位</w:t>
            </w:r>
            <w:r>
              <w:rPr>
                <w:rFonts w:ascii="Times New Roman" w:eastAsiaTheme="minorEastAsia" w:hAnsi="Times New Roman" w:hint="default"/>
                <w:color w:val="000000"/>
                <w:lang w:bidi="ar"/>
              </w:rPr>
              <w:t>：</w:t>
            </w:r>
            <w:r>
              <w:rPr>
                <w:rFonts w:ascii="Times New Roman" w:eastAsiaTheme="minorEastAsia" w:hAnsi="Times New Roman" w:hint="default"/>
                <w:color w:val="000000"/>
                <w:lang w:bidi="ar"/>
              </w:rPr>
              <w:t xml:space="preserve"> </w:t>
            </w:r>
            <w:r>
              <w:rPr>
                <w:rFonts w:ascii="Times New Roman" w:hAnsi="Times New Roman" w:hint="default"/>
                <w:color w:val="000000"/>
              </w:rPr>
              <w:t>重庆市黔江区物流（口岸）服务中心</w:t>
            </w:r>
          </w:p>
        </w:tc>
        <w:tc>
          <w:tcPr>
            <w:tcW w:w="3752"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3010" w:type="dxa"/>
            <w:tcBorders>
              <w:top w:val="nil"/>
              <w:left w:val="nil"/>
              <w:bottom w:val="nil"/>
              <w:right w:val="nil"/>
            </w:tcBorders>
            <w:shd w:val="clear" w:color="auto" w:fill="auto"/>
            <w:noWrap/>
            <w:tcMar>
              <w:top w:w="15" w:type="dxa"/>
              <w:left w:w="15" w:type="dxa"/>
              <w:right w:w="15" w:type="dxa"/>
            </w:tcMar>
            <w:vAlign w:val="bottom"/>
          </w:tcPr>
          <w:p w:rsidR="00D05B95" w:rsidRDefault="00B7689C">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04</w:t>
            </w:r>
            <w:r>
              <w:rPr>
                <w:rFonts w:ascii="Times New Roman" w:hAnsi="Times New Roman" w:hint="default"/>
                <w:color w:val="000000"/>
                <w:lang w:bidi="ar"/>
              </w:rPr>
              <w:t>表</w:t>
            </w:r>
          </w:p>
        </w:tc>
      </w:tr>
      <w:tr w:rsidR="00D05B95">
        <w:trPr>
          <w:trHeight w:val="90"/>
        </w:trPr>
        <w:tc>
          <w:tcPr>
            <w:tcW w:w="6742" w:type="dxa"/>
            <w:gridSpan w:val="2"/>
            <w:vMerge/>
            <w:tcBorders>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3752"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3010" w:type="dxa"/>
            <w:tcBorders>
              <w:top w:val="nil"/>
              <w:left w:val="nil"/>
              <w:bottom w:val="nil"/>
              <w:right w:val="nil"/>
            </w:tcBorders>
            <w:shd w:val="clear" w:color="auto" w:fill="auto"/>
            <w:noWrap/>
            <w:tcMar>
              <w:top w:w="15" w:type="dxa"/>
              <w:left w:w="15" w:type="dxa"/>
              <w:right w:w="15" w:type="dxa"/>
            </w:tcMar>
            <w:vAlign w:val="bottom"/>
          </w:tcPr>
          <w:p w:rsidR="00D05B95" w:rsidRDefault="00B7689C">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D05B95">
        <w:trPr>
          <w:trHeight w:val="90"/>
        </w:trPr>
        <w:tc>
          <w:tcPr>
            <w:tcW w:w="6742" w:type="dxa"/>
            <w:gridSpan w:val="2"/>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收</w:t>
            </w:r>
            <w:r>
              <w:rPr>
                <w:rFonts w:ascii="Times New Roman" w:hAnsi="Times New Roman" w:hint="default"/>
                <w:b/>
                <w:color w:val="000000"/>
                <w:sz w:val="22"/>
                <w:szCs w:val="22"/>
                <w:lang w:bidi="ar"/>
              </w:rPr>
              <w:t xml:space="preserve">     </w:t>
            </w:r>
            <w:r>
              <w:rPr>
                <w:rFonts w:ascii="Times New Roman" w:hAnsi="Times New Roman" w:hint="default"/>
                <w:b/>
                <w:color w:val="000000"/>
                <w:sz w:val="22"/>
                <w:szCs w:val="22"/>
                <w:lang w:bidi="ar"/>
              </w:rPr>
              <w:t>入</w:t>
            </w:r>
          </w:p>
        </w:tc>
        <w:tc>
          <w:tcPr>
            <w:tcW w:w="15618" w:type="dxa"/>
            <w:gridSpan w:val="5"/>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支</w:t>
            </w:r>
            <w:r>
              <w:rPr>
                <w:rFonts w:ascii="Times New Roman" w:hAnsi="Times New Roman" w:hint="default"/>
                <w:b/>
                <w:color w:val="000000"/>
                <w:sz w:val="22"/>
                <w:szCs w:val="22"/>
                <w:lang w:bidi="ar"/>
              </w:rPr>
              <w:t xml:space="preserve">     </w:t>
            </w:r>
            <w:r>
              <w:rPr>
                <w:rFonts w:ascii="Times New Roman" w:hAnsi="Times New Roman" w:hint="default"/>
                <w:b/>
                <w:color w:val="000000"/>
                <w:sz w:val="22"/>
                <w:szCs w:val="22"/>
                <w:lang w:bidi="ar"/>
              </w:rPr>
              <w:t>出</w:t>
            </w:r>
          </w:p>
        </w:tc>
      </w:tr>
      <w:tr w:rsidR="00D05B95">
        <w:trPr>
          <w:trHeight w:val="90"/>
        </w:trPr>
        <w:tc>
          <w:tcPr>
            <w:tcW w:w="4068"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w:t>
            </w:r>
          </w:p>
        </w:tc>
        <w:tc>
          <w:tcPr>
            <w:tcW w:w="2674"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决算数</w:t>
            </w:r>
          </w:p>
        </w:tc>
        <w:tc>
          <w:tcPr>
            <w:tcW w:w="3752"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功能分类科目</w:t>
            </w:r>
          </w:p>
        </w:tc>
        <w:tc>
          <w:tcPr>
            <w:tcW w:w="11866" w:type="dxa"/>
            <w:gridSpan w:val="4"/>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决算数</w:t>
            </w:r>
          </w:p>
        </w:tc>
      </w:tr>
      <w:tr w:rsidR="00D05B95">
        <w:trPr>
          <w:trHeight w:val="90"/>
        </w:trPr>
        <w:tc>
          <w:tcPr>
            <w:tcW w:w="4068"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674"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3752"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9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小计</w:t>
            </w:r>
          </w:p>
        </w:tc>
        <w:tc>
          <w:tcPr>
            <w:tcW w:w="2952" w:type="dxa"/>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一般公共预算财政拨款</w:t>
            </w:r>
          </w:p>
        </w:tc>
        <w:tc>
          <w:tcPr>
            <w:tcW w:w="2952" w:type="dxa"/>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政府性基金预算财政拨款</w:t>
            </w:r>
          </w:p>
        </w:tc>
        <w:tc>
          <w:tcPr>
            <w:tcW w:w="3010" w:type="dxa"/>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国有资本经营预算财政拨款</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一、一般公共预算财政拨款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78.66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一、一般公共服务支出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59.11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59.11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二、政府性基金预算财政拨款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二、外交支出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三、国有资本经营预算财政拨款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三、国防支出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四、公共安全支出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五、教育支出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六、科学技术支出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七、文化旅游体育与传媒支出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八、社会保障和就业支出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11.85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11.85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九、卫生健康支出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4.02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4.02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十、节能环保支出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十一、城乡社区支出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十二、农林水支出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十三、交通运输支出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十四、资源勘探工业信息等支出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十五、商业服务业等支出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十六、金融支出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十七、援助其他地区支出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十八、自然资源海洋气象等支出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十九、住房保障支出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3.67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3.67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二十、粮油物资储备支出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二十一、国有资本经营预算支出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二十二、灾害防治及应急管理支出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二十三、其他支出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二十四、债务还本支出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二十五、债务付息支出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二十六、抗疫特别国债安排的支出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本年收入合计</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78.66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本年支出合计</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78.66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78.66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年初财政拨款结转和结余</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年末财政拨款结转和结余</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一般公共预算财政拨款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政府性基金预算财政拨款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0"/>
                <w:szCs w:val="20"/>
              </w:rPr>
            </w:pP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国有资本经营预算财政拨款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0"/>
                <w:szCs w:val="20"/>
              </w:rPr>
            </w:pP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r>
      <w:tr w:rsidR="00D05B95">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总计</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78.66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总计</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0"/>
                <w:szCs w:val="20"/>
              </w:rPr>
            </w:pPr>
            <w:r>
              <w:rPr>
                <w:rFonts w:ascii="Times New Roman" w:hAnsi="Times New Roman" w:hint="default"/>
                <w:color w:val="000000"/>
                <w:sz w:val="21"/>
                <w:szCs w:val="21"/>
                <w:lang w:bidi="ar"/>
              </w:rPr>
              <w:t xml:space="preserve">78.66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0"/>
                <w:szCs w:val="20"/>
              </w:rPr>
            </w:pPr>
            <w:r>
              <w:rPr>
                <w:rFonts w:ascii="Times New Roman" w:hAnsi="Times New Roman" w:hint="default"/>
                <w:color w:val="000000"/>
                <w:sz w:val="21"/>
                <w:szCs w:val="21"/>
                <w:lang w:bidi="ar"/>
              </w:rPr>
              <w:t xml:space="preserve">78.66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0"/>
                <w:szCs w:val="20"/>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bl>
    <w:p w:rsidR="00D05B95" w:rsidRDefault="00B7689C">
      <w:pPr>
        <w:rPr>
          <w:rFonts w:ascii="Times New Roman" w:hAnsi="Times New Roman" w:hint="default"/>
          <w:sz w:val="21"/>
          <w:szCs w:val="21"/>
        </w:rPr>
      </w:pPr>
      <w:r>
        <w:rPr>
          <w:rFonts w:ascii="Times New Roman" w:hAnsi="Times New Roman" w:hint="default"/>
          <w:sz w:val="21"/>
          <w:szCs w:val="21"/>
          <w:lang w:bidi="ar"/>
        </w:rPr>
        <w:t>备注：</w:t>
      </w:r>
      <w:r>
        <w:rPr>
          <w:rFonts w:ascii="Times New Roman" w:hAnsi="Times New Roman" w:hint="default"/>
          <w:sz w:val="21"/>
          <w:szCs w:val="21"/>
          <w:lang w:bidi="ar"/>
        </w:rPr>
        <w:t>1.</w:t>
      </w:r>
      <w:r>
        <w:rPr>
          <w:rFonts w:ascii="Times New Roman" w:hAnsi="Times New Roman" w:hint="default"/>
          <w:sz w:val="21"/>
          <w:szCs w:val="21"/>
          <w:lang w:bidi="ar"/>
        </w:rPr>
        <w:t>本表反映单位本年度一般公共预算财政拨款、政府性基金预算财政拨款及国有资本经营预算财政拨款的总收支和年末结转结余情况。</w:t>
      </w:r>
      <w:r>
        <w:rPr>
          <w:rFonts w:ascii="Times New Roman" w:hAnsi="Times New Roman" w:hint="default"/>
          <w:sz w:val="21"/>
          <w:szCs w:val="21"/>
          <w:lang w:bidi="ar"/>
        </w:rPr>
        <w:br/>
        <w:t xml:space="preserve">      2.</w:t>
      </w:r>
      <w:r>
        <w:rPr>
          <w:rFonts w:ascii="Times New Roman" w:hAnsi="Times New Roman" w:hint="default"/>
          <w:sz w:val="21"/>
          <w:szCs w:val="21"/>
          <w:lang w:bidi="ar"/>
        </w:rPr>
        <w:t>本套报表金额单位转换时可能存在尾数误差。</w:t>
      </w:r>
      <w:r>
        <w:rPr>
          <w:rFonts w:ascii="Times New Roman" w:hAnsi="Times New Roman" w:hint="default"/>
          <w:sz w:val="21"/>
          <w:szCs w:val="21"/>
          <w:lang w:bidi="ar"/>
        </w:rPr>
        <w:br/>
      </w:r>
      <w:r>
        <w:rPr>
          <w:rFonts w:ascii="Times New Roman" w:hAnsi="Times New Roman" w:hint="default"/>
          <w:sz w:val="21"/>
          <w:szCs w:val="21"/>
        </w:rPr>
        <w:br/>
      </w:r>
    </w:p>
    <w:p w:rsidR="00D05B95" w:rsidRDefault="00B7689C">
      <w:pPr>
        <w:rPr>
          <w:rFonts w:ascii="Times New Roman" w:hAnsi="Times New Roman" w:hint="default"/>
          <w:sz w:val="21"/>
          <w:szCs w:val="21"/>
        </w:rPr>
      </w:pPr>
      <w:r>
        <w:rPr>
          <w:rFonts w:ascii="Times New Roman" w:hAnsi="Times New Roman" w:hint="default"/>
          <w:sz w:val="21"/>
          <w:szCs w:val="21"/>
        </w:rPr>
        <w:br w:type="page"/>
      </w:r>
    </w:p>
    <w:tbl>
      <w:tblPr>
        <w:tblW w:w="22300" w:type="dxa"/>
        <w:tblLayout w:type="fixed"/>
        <w:tblCellMar>
          <w:left w:w="0" w:type="dxa"/>
          <w:right w:w="0" w:type="dxa"/>
        </w:tblCellMar>
        <w:tblLook w:val="04A0" w:firstRow="1" w:lastRow="0" w:firstColumn="1" w:lastColumn="0" w:noHBand="0" w:noVBand="1"/>
      </w:tblPr>
      <w:tblGrid>
        <w:gridCol w:w="2694"/>
        <w:gridCol w:w="5151"/>
        <w:gridCol w:w="4817"/>
        <w:gridCol w:w="4817"/>
        <w:gridCol w:w="4821"/>
      </w:tblGrid>
      <w:tr w:rsidR="00D05B95">
        <w:trPr>
          <w:trHeight w:val="510"/>
        </w:trPr>
        <w:tc>
          <w:tcPr>
            <w:tcW w:w="22300" w:type="dxa"/>
            <w:gridSpan w:val="5"/>
            <w:tcBorders>
              <w:top w:val="nil"/>
              <w:left w:val="nil"/>
              <w:bottom w:val="nil"/>
              <w:right w:val="nil"/>
            </w:tcBorders>
            <w:shd w:val="clear" w:color="auto" w:fill="auto"/>
            <w:noWrap/>
            <w:tcMar>
              <w:top w:w="15" w:type="dxa"/>
              <w:left w:w="15" w:type="dxa"/>
              <w:right w:w="15" w:type="dxa"/>
            </w:tcMar>
            <w:vAlign w:val="bottom"/>
          </w:tcPr>
          <w:p w:rsidR="00D05B95" w:rsidRDefault="00B7689C">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lastRenderedPageBreak/>
              <w:t>一般公共预算财政拨款支出决算表</w:t>
            </w:r>
          </w:p>
        </w:tc>
      </w:tr>
      <w:tr w:rsidR="00D05B95">
        <w:trPr>
          <w:trHeight w:val="255"/>
        </w:trPr>
        <w:tc>
          <w:tcPr>
            <w:tcW w:w="7845" w:type="dxa"/>
            <w:gridSpan w:val="2"/>
            <w:vMerge w:val="restart"/>
            <w:tcBorders>
              <w:top w:val="nil"/>
              <w:left w:val="nil"/>
              <w:right w:val="nil"/>
            </w:tcBorders>
            <w:shd w:val="clear" w:color="auto" w:fill="auto"/>
            <w:noWrap/>
            <w:tcMar>
              <w:top w:w="15" w:type="dxa"/>
              <w:left w:w="15" w:type="dxa"/>
              <w:right w:w="15" w:type="dxa"/>
            </w:tcMar>
            <w:vAlign w:val="bottom"/>
          </w:tcPr>
          <w:p w:rsidR="00D05B95" w:rsidRDefault="00B7689C">
            <w:pPr>
              <w:rPr>
                <w:rFonts w:ascii="Times New Roman" w:hAnsi="Times New Roman" w:hint="default"/>
                <w:color w:val="000000"/>
                <w:sz w:val="20"/>
                <w:szCs w:val="20"/>
              </w:rPr>
            </w:pPr>
            <w:r>
              <w:rPr>
                <w:rFonts w:ascii="Times New Roman" w:eastAsiaTheme="minorEastAsia" w:hAnsi="Times New Roman" w:hint="default"/>
              </w:rPr>
              <w:t>公开单位</w:t>
            </w:r>
            <w:r>
              <w:rPr>
                <w:rFonts w:ascii="Times New Roman" w:eastAsiaTheme="minorEastAsia" w:hAnsi="Times New Roman" w:hint="default"/>
                <w:color w:val="000000"/>
                <w:lang w:bidi="ar"/>
              </w:rPr>
              <w:t>：</w:t>
            </w:r>
            <w:r>
              <w:rPr>
                <w:rFonts w:ascii="Times New Roman" w:eastAsiaTheme="minorEastAsia" w:hAnsi="Times New Roman" w:hint="default"/>
                <w:color w:val="000000"/>
                <w:lang w:bidi="ar"/>
              </w:rPr>
              <w:t xml:space="preserve"> </w:t>
            </w:r>
            <w:r>
              <w:rPr>
                <w:rFonts w:ascii="Times New Roman" w:hAnsi="Times New Roman" w:hint="default"/>
                <w:color w:val="000000"/>
              </w:rPr>
              <w:t>重庆市黔江区物流（口岸）服务中心</w:t>
            </w:r>
          </w:p>
        </w:tc>
        <w:tc>
          <w:tcPr>
            <w:tcW w:w="4817"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4817"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4821" w:type="dxa"/>
            <w:tcBorders>
              <w:top w:val="nil"/>
              <w:left w:val="nil"/>
              <w:bottom w:val="nil"/>
              <w:right w:val="nil"/>
            </w:tcBorders>
            <w:shd w:val="clear" w:color="auto" w:fill="auto"/>
            <w:noWrap/>
            <w:tcMar>
              <w:top w:w="15" w:type="dxa"/>
              <w:left w:w="15" w:type="dxa"/>
              <w:right w:w="15" w:type="dxa"/>
            </w:tcMar>
            <w:vAlign w:val="bottom"/>
          </w:tcPr>
          <w:p w:rsidR="00D05B95" w:rsidRDefault="00B7689C">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05</w:t>
            </w:r>
            <w:r>
              <w:rPr>
                <w:rFonts w:ascii="Times New Roman" w:hAnsi="Times New Roman" w:hint="default"/>
                <w:color w:val="000000"/>
                <w:lang w:bidi="ar"/>
              </w:rPr>
              <w:t>表</w:t>
            </w:r>
          </w:p>
        </w:tc>
      </w:tr>
      <w:tr w:rsidR="00D05B95">
        <w:trPr>
          <w:trHeight w:val="285"/>
        </w:trPr>
        <w:tc>
          <w:tcPr>
            <w:tcW w:w="7845" w:type="dxa"/>
            <w:gridSpan w:val="2"/>
            <w:vMerge/>
            <w:tcBorders>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4817"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4817"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4821" w:type="dxa"/>
            <w:tcBorders>
              <w:top w:val="nil"/>
              <w:left w:val="nil"/>
              <w:bottom w:val="nil"/>
              <w:right w:val="nil"/>
            </w:tcBorders>
            <w:shd w:val="clear" w:color="auto" w:fill="auto"/>
            <w:noWrap/>
            <w:tcMar>
              <w:top w:w="15" w:type="dxa"/>
              <w:left w:w="15" w:type="dxa"/>
              <w:right w:w="15" w:type="dxa"/>
            </w:tcMar>
            <w:vAlign w:val="bottom"/>
          </w:tcPr>
          <w:p w:rsidR="00D05B95" w:rsidRDefault="00B7689C">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D05B95">
        <w:trPr>
          <w:trHeight w:val="308"/>
        </w:trPr>
        <w:tc>
          <w:tcPr>
            <w:tcW w:w="7845" w:type="dxa"/>
            <w:gridSpan w:val="2"/>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w:t>
            </w:r>
          </w:p>
        </w:tc>
        <w:tc>
          <w:tcPr>
            <w:tcW w:w="14455" w:type="dxa"/>
            <w:gridSpan w:val="3"/>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本年支出</w:t>
            </w:r>
          </w:p>
        </w:tc>
      </w:tr>
      <w:tr w:rsidR="00D05B95">
        <w:trPr>
          <w:trHeight w:val="312"/>
        </w:trPr>
        <w:tc>
          <w:tcPr>
            <w:tcW w:w="2694"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功能分类科目编码</w:t>
            </w:r>
          </w:p>
        </w:tc>
        <w:tc>
          <w:tcPr>
            <w:tcW w:w="5151"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项目（按</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项</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级功能分类科目）</w:t>
            </w:r>
          </w:p>
        </w:tc>
        <w:tc>
          <w:tcPr>
            <w:tcW w:w="4817"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4817"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基本支出</w:t>
            </w:r>
          </w:p>
        </w:tc>
        <w:tc>
          <w:tcPr>
            <w:tcW w:w="4821"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项目支出</w:t>
            </w:r>
          </w:p>
        </w:tc>
      </w:tr>
      <w:tr w:rsidR="00D05B95">
        <w:trPr>
          <w:trHeight w:val="312"/>
        </w:trPr>
        <w:tc>
          <w:tcPr>
            <w:tcW w:w="2694"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5151"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4817"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4817"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4821"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r>
      <w:tr w:rsidR="00D05B95">
        <w:trPr>
          <w:trHeight w:val="615"/>
        </w:trPr>
        <w:tc>
          <w:tcPr>
            <w:tcW w:w="2694"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5151"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4817"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4817"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4821"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r>
      <w:tr w:rsidR="00D05B95">
        <w:trPr>
          <w:trHeight w:val="308"/>
        </w:trPr>
        <w:tc>
          <w:tcPr>
            <w:tcW w:w="7845" w:type="dxa"/>
            <w:gridSpan w:val="2"/>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78.66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77.76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0.90 </w:t>
            </w:r>
          </w:p>
        </w:tc>
      </w:tr>
      <w:tr w:rsidR="00D05B95">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一般公共服务支出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59.11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59.11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D05B95">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20113</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商贸事务</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59.11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59.11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D05B95">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2011350</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事业运行</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59.11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59.11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D05B95">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社会保障和就业支出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11.85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10.95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0.90 </w:t>
            </w:r>
          </w:p>
        </w:tc>
      </w:tr>
      <w:tr w:rsidR="00D05B95">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20801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人力资源和社会保障管理事务</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0.90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0.90 </w:t>
            </w:r>
          </w:p>
        </w:tc>
      </w:tr>
      <w:tr w:rsidR="00D05B95">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2080116</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引进人才费用</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0.90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0.90 </w:t>
            </w:r>
          </w:p>
        </w:tc>
      </w:tr>
      <w:tr w:rsidR="00D05B95">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20805</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行政事业单位养老支出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10.95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10.95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D05B95">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2080505</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机关事业单位基本养老保险缴费支出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7.30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7.30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D05B95">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2080506</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机关事业单位职业年金缴费支出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3.65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3.65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D05B95">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210</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卫生健康支出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4.02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4.02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D05B95">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21011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行政事业单位医疗</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4.02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4.02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D05B95">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2101102</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事业单位医疗</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3.06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3.06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D05B95">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2101199</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其他行政事业单位医疗支出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0.96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0.96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D05B95">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住房保障支出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3.67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3.67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D05B95">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22102</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住房改革支出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3.67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3.67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D05B95">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2210201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住房公积金</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3.67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3.67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bl>
    <w:p w:rsidR="00D05B95" w:rsidRDefault="00B7689C">
      <w:pPr>
        <w:rPr>
          <w:rFonts w:ascii="Times New Roman" w:hAnsi="Times New Roman" w:hint="default"/>
          <w:sz w:val="21"/>
          <w:szCs w:val="21"/>
        </w:rPr>
      </w:pPr>
      <w:r>
        <w:rPr>
          <w:rFonts w:ascii="Times New Roman" w:hAnsi="Times New Roman" w:hint="default"/>
          <w:sz w:val="21"/>
          <w:szCs w:val="21"/>
          <w:lang w:bidi="ar"/>
        </w:rPr>
        <w:t>备注：</w:t>
      </w:r>
      <w:r>
        <w:rPr>
          <w:rFonts w:ascii="Times New Roman" w:hAnsi="Times New Roman" w:hint="default"/>
          <w:sz w:val="21"/>
          <w:szCs w:val="21"/>
          <w:lang w:bidi="ar"/>
        </w:rPr>
        <w:t>1.</w:t>
      </w:r>
      <w:r>
        <w:rPr>
          <w:rFonts w:ascii="Times New Roman" w:hAnsi="Times New Roman" w:hint="default"/>
          <w:sz w:val="21"/>
          <w:szCs w:val="21"/>
          <w:lang w:bidi="ar"/>
        </w:rPr>
        <w:t>本表反映单位本年度一般公共预算财政拨款支出情况。</w:t>
      </w:r>
      <w:r>
        <w:rPr>
          <w:rFonts w:ascii="Times New Roman" w:hAnsi="Times New Roman" w:hint="default"/>
          <w:sz w:val="21"/>
          <w:szCs w:val="21"/>
          <w:lang w:bidi="ar"/>
        </w:rPr>
        <w:br/>
        <w:t xml:space="preserve">      2.</w:t>
      </w:r>
      <w:r>
        <w:rPr>
          <w:rFonts w:ascii="Times New Roman" w:hAnsi="Times New Roman" w:hint="default"/>
          <w:sz w:val="21"/>
          <w:szCs w:val="21"/>
          <w:lang w:bidi="ar"/>
        </w:rPr>
        <w:t>本套报表金额单位转换时可能存在尾数误差。</w:t>
      </w:r>
      <w:r>
        <w:rPr>
          <w:rFonts w:ascii="Times New Roman" w:hAnsi="Times New Roman" w:hint="default"/>
          <w:sz w:val="21"/>
          <w:szCs w:val="21"/>
          <w:lang w:bidi="ar"/>
        </w:rPr>
        <w:br/>
      </w:r>
      <w:r>
        <w:rPr>
          <w:rFonts w:ascii="Times New Roman" w:hAnsi="Times New Roman" w:hint="default"/>
          <w:sz w:val="21"/>
          <w:szCs w:val="21"/>
        </w:rPr>
        <w:br/>
      </w:r>
    </w:p>
    <w:p w:rsidR="00D05B95" w:rsidRDefault="00B7689C">
      <w:pPr>
        <w:ind w:firstLineChars="300" w:firstLine="630"/>
        <w:rPr>
          <w:rFonts w:ascii="Times New Roman" w:hAnsi="Times New Roman" w:hint="default"/>
          <w:sz w:val="21"/>
          <w:szCs w:val="21"/>
        </w:rPr>
      </w:pPr>
      <w:r>
        <w:rPr>
          <w:rFonts w:ascii="Times New Roman" w:hAnsi="Times New Roman" w:hint="default"/>
          <w:sz w:val="21"/>
          <w:szCs w:val="21"/>
        </w:rPr>
        <w:br w:type="page"/>
      </w:r>
    </w:p>
    <w:tbl>
      <w:tblPr>
        <w:tblW w:w="22280" w:type="dxa"/>
        <w:tblLayout w:type="fixed"/>
        <w:tblCellMar>
          <w:left w:w="0" w:type="dxa"/>
          <w:right w:w="0" w:type="dxa"/>
        </w:tblCellMar>
        <w:tblLook w:val="04A0" w:firstRow="1" w:lastRow="0" w:firstColumn="1" w:lastColumn="0" w:noHBand="0" w:noVBand="1"/>
      </w:tblPr>
      <w:tblGrid>
        <w:gridCol w:w="1289"/>
        <w:gridCol w:w="3495"/>
        <w:gridCol w:w="2829"/>
        <w:gridCol w:w="1122"/>
        <w:gridCol w:w="2330"/>
        <w:gridCol w:w="2747"/>
        <w:gridCol w:w="1509"/>
        <w:gridCol w:w="4465"/>
        <w:gridCol w:w="2494"/>
      </w:tblGrid>
      <w:tr w:rsidR="00D05B95">
        <w:trPr>
          <w:trHeight w:val="590"/>
        </w:trPr>
        <w:tc>
          <w:tcPr>
            <w:tcW w:w="22280" w:type="dxa"/>
            <w:gridSpan w:val="9"/>
            <w:tcBorders>
              <w:top w:val="nil"/>
              <w:left w:val="nil"/>
              <w:bottom w:val="nil"/>
              <w:right w:val="nil"/>
            </w:tcBorders>
            <w:shd w:val="clear" w:color="auto" w:fill="auto"/>
            <w:noWrap/>
            <w:tcMar>
              <w:top w:w="15" w:type="dxa"/>
              <w:left w:w="15" w:type="dxa"/>
              <w:right w:w="15" w:type="dxa"/>
            </w:tcMar>
            <w:vAlign w:val="bottom"/>
          </w:tcPr>
          <w:p w:rsidR="00D05B95" w:rsidRDefault="00B7689C">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lastRenderedPageBreak/>
              <w:t>一般公共预算财政拨款基本支出决算表</w:t>
            </w:r>
          </w:p>
        </w:tc>
      </w:tr>
      <w:tr w:rsidR="00D05B95">
        <w:trPr>
          <w:trHeight w:val="302"/>
        </w:trPr>
        <w:tc>
          <w:tcPr>
            <w:tcW w:w="4784" w:type="dxa"/>
            <w:gridSpan w:val="2"/>
            <w:vMerge w:val="restart"/>
            <w:tcBorders>
              <w:top w:val="nil"/>
              <w:left w:val="nil"/>
              <w:right w:val="nil"/>
            </w:tcBorders>
            <w:shd w:val="clear" w:color="auto" w:fill="auto"/>
            <w:noWrap/>
            <w:tcMar>
              <w:top w:w="15" w:type="dxa"/>
              <w:left w:w="15" w:type="dxa"/>
              <w:right w:w="15" w:type="dxa"/>
            </w:tcMar>
            <w:vAlign w:val="bottom"/>
          </w:tcPr>
          <w:p w:rsidR="00D05B95" w:rsidRDefault="00B7689C">
            <w:pPr>
              <w:rPr>
                <w:rFonts w:ascii="Times New Roman" w:hAnsi="Times New Roman" w:hint="default"/>
                <w:color w:val="000000"/>
                <w:sz w:val="22"/>
                <w:szCs w:val="22"/>
              </w:rPr>
            </w:pPr>
            <w:r>
              <w:rPr>
                <w:rFonts w:ascii="Times New Roman" w:eastAsiaTheme="minorEastAsia" w:hAnsi="Times New Roman" w:hint="default"/>
              </w:rPr>
              <w:t>公开单位</w:t>
            </w:r>
            <w:r>
              <w:rPr>
                <w:rFonts w:ascii="Times New Roman" w:eastAsiaTheme="minorEastAsia" w:hAnsi="Times New Roman" w:hint="default"/>
                <w:color w:val="000000"/>
                <w:lang w:bidi="ar"/>
              </w:rPr>
              <w:t>：</w:t>
            </w:r>
            <w:r>
              <w:rPr>
                <w:rFonts w:ascii="Times New Roman" w:eastAsiaTheme="minorEastAsia" w:hAnsi="Times New Roman" w:hint="default"/>
                <w:color w:val="000000"/>
                <w:lang w:bidi="ar"/>
              </w:rPr>
              <w:t xml:space="preserve"> </w:t>
            </w:r>
            <w:r>
              <w:rPr>
                <w:rFonts w:ascii="Times New Roman" w:hAnsi="Times New Roman" w:hint="default"/>
                <w:color w:val="000000"/>
              </w:rPr>
              <w:t>重庆市黔江区物流（口岸）服务中心</w:t>
            </w:r>
          </w:p>
        </w:tc>
        <w:tc>
          <w:tcPr>
            <w:tcW w:w="2829"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1122"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330"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747"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1509"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4465"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494" w:type="dxa"/>
            <w:tcBorders>
              <w:top w:val="nil"/>
              <w:left w:val="nil"/>
              <w:bottom w:val="nil"/>
              <w:right w:val="nil"/>
            </w:tcBorders>
            <w:shd w:val="clear" w:color="auto" w:fill="auto"/>
            <w:noWrap/>
            <w:tcMar>
              <w:top w:w="15" w:type="dxa"/>
              <w:left w:w="15" w:type="dxa"/>
              <w:right w:w="15" w:type="dxa"/>
            </w:tcMar>
            <w:vAlign w:val="bottom"/>
          </w:tcPr>
          <w:p w:rsidR="00D05B95" w:rsidRDefault="00B7689C">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06</w:t>
            </w:r>
            <w:r>
              <w:rPr>
                <w:rFonts w:ascii="Times New Roman" w:hAnsi="Times New Roman" w:hint="default"/>
                <w:color w:val="000000"/>
                <w:lang w:bidi="ar"/>
              </w:rPr>
              <w:t>表</w:t>
            </w:r>
          </w:p>
        </w:tc>
      </w:tr>
      <w:tr w:rsidR="00D05B95">
        <w:trPr>
          <w:trHeight w:val="302"/>
        </w:trPr>
        <w:tc>
          <w:tcPr>
            <w:tcW w:w="4784" w:type="dxa"/>
            <w:gridSpan w:val="2"/>
            <w:vMerge/>
            <w:tcBorders>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2829"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1122"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2330"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2747"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1509"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4465"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2494" w:type="dxa"/>
            <w:tcBorders>
              <w:top w:val="nil"/>
              <w:left w:val="nil"/>
              <w:bottom w:val="nil"/>
              <w:right w:val="nil"/>
            </w:tcBorders>
            <w:shd w:val="clear" w:color="auto" w:fill="auto"/>
            <w:noWrap/>
            <w:tcMar>
              <w:top w:w="15" w:type="dxa"/>
              <w:left w:w="15" w:type="dxa"/>
              <w:right w:w="15" w:type="dxa"/>
            </w:tcMar>
            <w:vAlign w:val="bottom"/>
          </w:tcPr>
          <w:p w:rsidR="00D05B95" w:rsidRDefault="00B7689C">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D05B95">
        <w:trPr>
          <w:trHeight w:val="311"/>
        </w:trPr>
        <w:tc>
          <w:tcPr>
            <w:tcW w:w="7613" w:type="dxa"/>
            <w:gridSpan w:val="3"/>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人员经费</w:t>
            </w:r>
          </w:p>
        </w:tc>
        <w:tc>
          <w:tcPr>
            <w:tcW w:w="14667" w:type="dxa"/>
            <w:gridSpan w:val="6"/>
            <w:tcBorders>
              <w:top w:val="single" w:sz="4" w:space="0" w:color="000000"/>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公用经费</w:t>
            </w:r>
          </w:p>
        </w:tc>
      </w:tr>
      <w:tr w:rsidR="00D05B95">
        <w:trPr>
          <w:trHeight w:val="312"/>
        </w:trPr>
        <w:tc>
          <w:tcPr>
            <w:tcW w:w="1289"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经济分类科目编码</w:t>
            </w:r>
          </w:p>
        </w:tc>
        <w:tc>
          <w:tcPr>
            <w:tcW w:w="3495"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经济分类科目（按</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款</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级功能分类科目）</w:t>
            </w:r>
          </w:p>
        </w:tc>
        <w:tc>
          <w:tcPr>
            <w:tcW w:w="2829"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金额</w:t>
            </w:r>
          </w:p>
        </w:tc>
        <w:tc>
          <w:tcPr>
            <w:tcW w:w="1122"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经济分类科目编码</w:t>
            </w:r>
          </w:p>
        </w:tc>
        <w:tc>
          <w:tcPr>
            <w:tcW w:w="2330"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经济分类科目（按</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款</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级功能分类科目）</w:t>
            </w:r>
          </w:p>
        </w:tc>
        <w:tc>
          <w:tcPr>
            <w:tcW w:w="2747"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金额</w:t>
            </w:r>
          </w:p>
        </w:tc>
        <w:tc>
          <w:tcPr>
            <w:tcW w:w="1509"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经济分类科目编码</w:t>
            </w:r>
          </w:p>
        </w:tc>
        <w:tc>
          <w:tcPr>
            <w:tcW w:w="4465"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经济分类科目（按</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款</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级功能分类科目）</w:t>
            </w:r>
          </w:p>
        </w:tc>
        <w:tc>
          <w:tcPr>
            <w:tcW w:w="2494"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金额</w:t>
            </w:r>
          </w:p>
        </w:tc>
      </w:tr>
      <w:tr w:rsidR="00D05B95">
        <w:trPr>
          <w:trHeight w:val="799"/>
        </w:trPr>
        <w:tc>
          <w:tcPr>
            <w:tcW w:w="1289"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349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829"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1122"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33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747"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1509"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446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494"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工资福利支出</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73.60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商品和服务支出</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4.16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资本性支出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30101</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基本工资</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16.20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30201</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办公费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1.47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31001</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房屋建筑物购建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30102</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津贴补贴</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1.94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30202</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印刷费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31002</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办公设备购置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30103</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奖金</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30203</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咨询费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31003</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专用设备购置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30106</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伙食补助费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3.36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30204</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手续费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31005</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基础设施建设</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30107</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绩效工资</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33.36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30205</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水费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31006</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大型修缮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33"/>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30108</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机关事业单位基本养老保险缴费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7.30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30206</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电费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31007</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信息网络及软件购置更新</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30109</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职业年金缴费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3.65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30207</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邮电费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1.25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31008</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物资储备</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64"/>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30110</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职工基本医疗保险缴费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3.06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30208</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取暖费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土地补偿</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30111</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公务员医疗补助缴费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30209</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物业管理费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31010</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安置补助</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33"/>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30112</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其他社会保障缴费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0.09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30211</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差旅费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31011</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地上附着物和青苗补偿</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30113</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住房公积金</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3.67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30212</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因公出国（境）费用</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31012</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拆迁补偿</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30114</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医疗费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0.96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30213</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维修（护）费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31013</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公务用车购置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30199</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其他工资福利支出</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30214</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租赁费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31019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其他交通工具购置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对个人和家庭的补助</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30215</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会议费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31021</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文物和陈列品购置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30301</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离休费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30216</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培训费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0.46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31022</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无形资产购置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30302</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退休费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30217</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公务接待费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31099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其他资本性支出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30303</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退职（役）费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30218</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专用材料费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312</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对企业补助</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30304</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抚恤金</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30224</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被装购置费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31201</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资本金注入</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30305</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生活补助</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30225</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专用燃料费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31203</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政府投资基金股权投资</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30306</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救济费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30226</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劳务费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31204</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费用补贴</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30307</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医疗费补助</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30227</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委托业务费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31205</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利息补贴</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30308</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助学金</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30228</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工会经费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0.37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31299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其他对企业补助</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30309</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奖励金</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30229</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福利费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0.61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399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其他支出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30310</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个人农业生产补贴</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30231</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公务用车运行维护费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39907</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国家赔偿费用支出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30311</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代缴社会保险费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30239</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其他交通费用</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39908</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对民间非营利组织和群众性自治组织补贴</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30399</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其他对个人和家庭的补助</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30240</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税金及附加费用</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39909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经常性赠与</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30299</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其他商品和服务支出</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39910</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资本性赠与</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307</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债务利息及费用支出</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39999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其他支出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30701</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国内债务付息</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30702</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国外债务付息</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30703</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国内债务发行费用</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r>
      <w:tr w:rsidR="00D05B95">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30704</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国外债务发行费用</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D05B95">
            <w:pPr>
              <w:rPr>
                <w:rFonts w:ascii="Times New Roman" w:hAnsi="Times New Roman" w:hint="default"/>
                <w:color w:val="000000"/>
                <w:sz w:val="22"/>
                <w:szCs w:val="22"/>
              </w:rPr>
            </w:pP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color w:val="000000"/>
                <w:sz w:val="22"/>
                <w:szCs w:val="22"/>
              </w:rPr>
            </w:pPr>
          </w:p>
        </w:tc>
      </w:tr>
      <w:tr w:rsidR="00D05B95">
        <w:trPr>
          <w:trHeight w:val="321"/>
        </w:trPr>
        <w:tc>
          <w:tcPr>
            <w:tcW w:w="4784" w:type="dxa"/>
            <w:gridSpan w:val="2"/>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人员经费合计</w:t>
            </w:r>
          </w:p>
        </w:tc>
        <w:tc>
          <w:tcPr>
            <w:tcW w:w="282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D05B95" w:rsidRDefault="00B7689C">
            <w:pPr>
              <w:wordWrap w:val="0"/>
              <w:jc w:val="right"/>
              <w:textAlignment w:val="bottom"/>
              <w:rPr>
                <w:rFonts w:ascii="Times New Roman" w:hAnsi="Times New Roman" w:hint="default"/>
                <w:color w:val="000000"/>
                <w:sz w:val="20"/>
                <w:szCs w:val="20"/>
              </w:rPr>
            </w:pPr>
            <w:r>
              <w:rPr>
                <w:rFonts w:ascii="Times New Roman" w:hAnsi="Times New Roman" w:hint="default"/>
                <w:color w:val="000000"/>
                <w:sz w:val="21"/>
                <w:szCs w:val="21"/>
                <w:lang w:bidi="ar"/>
              </w:rPr>
              <w:t xml:space="preserve">73.60 </w:t>
            </w:r>
          </w:p>
        </w:tc>
        <w:tc>
          <w:tcPr>
            <w:tcW w:w="12173" w:type="dxa"/>
            <w:gridSpan w:val="5"/>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公用经费合计</w:t>
            </w:r>
          </w:p>
        </w:tc>
        <w:tc>
          <w:tcPr>
            <w:tcW w:w="249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4.16 </w:t>
            </w:r>
          </w:p>
        </w:tc>
      </w:tr>
    </w:tbl>
    <w:p w:rsidR="00D05B95" w:rsidRDefault="00B7689C">
      <w:pPr>
        <w:rPr>
          <w:rFonts w:ascii="Times New Roman" w:hAnsi="Times New Roman" w:hint="default"/>
          <w:sz w:val="21"/>
          <w:szCs w:val="21"/>
        </w:rPr>
      </w:pPr>
      <w:r>
        <w:rPr>
          <w:rFonts w:ascii="Times New Roman" w:hAnsi="Times New Roman" w:hint="default"/>
          <w:sz w:val="21"/>
          <w:szCs w:val="21"/>
          <w:lang w:bidi="ar"/>
        </w:rPr>
        <w:t>备注：</w:t>
      </w:r>
      <w:r>
        <w:rPr>
          <w:rFonts w:ascii="Times New Roman" w:hAnsi="Times New Roman" w:hint="default"/>
          <w:sz w:val="21"/>
          <w:szCs w:val="21"/>
          <w:lang w:bidi="ar"/>
        </w:rPr>
        <w:t>1.</w:t>
      </w:r>
      <w:r>
        <w:rPr>
          <w:rFonts w:ascii="Times New Roman" w:hAnsi="Times New Roman" w:hint="default"/>
          <w:sz w:val="21"/>
          <w:szCs w:val="21"/>
          <w:lang w:bidi="ar"/>
        </w:rPr>
        <w:t>本表反映单位本年度一般公共预算财政拨款基本支出明细情况。</w:t>
      </w:r>
      <w:r>
        <w:rPr>
          <w:rFonts w:ascii="Times New Roman" w:hAnsi="Times New Roman" w:hint="default"/>
          <w:sz w:val="21"/>
          <w:szCs w:val="21"/>
          <w:lang w:bidi="ar"/>
        </w:rPr>
        <w:br/>
        <w:t xml:space="preserve">      2.</w:t>
      </w:r>
      <w:r>
        <w:rPr>
          <w:rFonts w:ascii="Times New Roman" w:hAnsi="Times New Roman" w:hint="default"/>
          <w:sz w:val="21"/>
          <w:szCs w:val="21"/>
          <w:lang w:bidi="ar"/>
        </w:rPr>
        <w:t>本套报表金额单位转换时可能存在尾数误差。</w:t>
      </w:r>
      <w:r>
        <w:rPr>
          <w:rFonts w:ascii="Times New Roman" w:hAnsi="Times New Roman" w:hint="default"/>
          <w:sz w:val="21"/>
          <w:szCs w:val="21"/>
          <w:lang w:bidi="ar"/>
        </w:rPr>
        <w:br/>
      </w:r>
      <w:r>
        <w:rPr>
          <w:rFonts w:ascii="Times New Roman" w:hAnsi="Times New Roman" w:hint="default"/>
          <w:sz w:val="21"/>
          <w:szCs w:val="21"/>
        </w:rPr>
        <w:br/>
      </w:r>
    </w:p>
    <w:tbl>
      <w:tblPr>
        <w:tblW w:w="22240" w:type="dxa"/>
        <w:tblLayout w:type="fixed"/>
        <w:tblCellMar>
          <w:left w:w="0" w:type="dxa"/>
          <w:right w:w="0" w:type="dxa"/>
        </w:tblCellMar>
        <w:tblLook w:val="04A0" w:firstRow="1" w:lastRow="0" w:firstColumn="1" w:lastColumn="0" w:noHBand="0" w:noVBand="1"/>
      </w:tblPr>
      <w:tblGrid>
        <w:gridCol w:w="2686"/>
        <w:gridCol w:w="4465"/>
        <w:gridCol w:w="2473"/>
        <w:gridCol w:w="2473"/>
        <w:gridCol w:w="2473"/>
        <w:gridCol w:w="2473"/>
        <w:gridCol w:w="2558"/>
        <w:gridCol w:w="2639"/>
      </w:tblGrid>
      <w:tr w:rsidR="00D05B95">
        <w:trPr>
          <w:trHeight w:val="644"/>
        </w:trPr>
        <w:tc>
          <w:tcPr>
            <w:tcW w:w="22240" w:type="dxa"/>
            <w:gridSpan w:val="8"/>
            <w:tcBorders>
              <w:top w:val="nil"/>
              <w:left w:val="nil"/>
              <w:bottom w:val="nil"/>
              <w:right w:val="nil"/>
            </w:tcBorders>
            <w:shd w:val="clear" w:color="auto" w:fill="auto"/>
            <w:noWrap/>
            <w:tcMar>
              <w:top w:w="15" w:type="dxa"/>
              <w:left w:w="15" w:type="dxa"/>
              <w:right w:w="15" w:type="dxa"/>
            </w:tcMar>
            <w:vAlign w:val="bottom"/>
          </w:tcPr>
          <w:p w:rsidR="00D05B95" w:rsidRDefault="00B7689C">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lastRenderedPageBreak/>
              <w:t>政府性基金预算财政拨款收入支出决算表</w:t>
            </w:r>
          </w:p>
        </w:tc>
      </w:tr>
      <w:tr w:rsidR="00D05B95">
        <w:trPr>
          <w:trHeight w:val="329"/>
        </w:trPr>
        <w:tc>
          <w:tcPr>
            <w:tcW w:w="7151" w:type="dxa"/>
            <w:gridSpan w:val="2"/>
            <w:vMerge w:val="restart"/>
            <w:tcBorders>
              <w:top w:val="nil"/>
              <w:left w:val="nil"/>
              <w:right w:val="nil"/>
            </w:tcBorders>
            <w:shd w:val="clear" w:color="auto" w:fill="auto"/>
            <w:noWrap/>
            <w:tcMar>
              <w:top w:w="15" w:type="dxa"/>
              <w:left w:w="15" w:type="dxa"/>
              <w:right w:w="15" w:type="dxa"/>
            </w:tcMar>
            <w:vAlign w:val="bottom"/>
          </w:tcPr>
          <w:p w:rsidR="00D05B95" w:rsidRDefault="00B7689C">
            <w:pPr>
              <w:rPr>
                <w:rFonts w:ascii="Times New Roman" w:hAnsi="Times New Roman" w:hint="default"/>
                <w:color w:val="000000"/>
                <w:sz w:val="20"/>
                <w:szCs w:val="20"/>
              </w:rPr>
            </w:pPr>
            <w:r>
              <w:rPr>
                <w:rFonts w:ascii="Times New Roman" w:eastAsiaTheme="minorEastAsia" w:hAnsi="Times New Roman" w:hint="default"/>
              </w:rPr>
              <w:t>公开单位</w:t>
            </w:r>
            <w:r>
              <w:rPr>
                <w:rFonts w:ascii="Times New Roman" w:eastAsiaTheme="minorEastAsia" w:hAnsi="Times New Roman" w:hint="default"/>
                <w:color w:val="000000"/>
                <w:lang w:bidi="ar"/>
              </w:rPr>
              <w:t>：</w:t>
            </w:r>
            <w:r>
              <w:rPr>
                <w:rFonts w:ascii="Times New Roman" w:eastAsiaTheme="minorEastAsia" w:hAnsi="Times New Roman" w:hint="default"/>
                <w:color w:val="000000"/>
                <w:lang w:bidi="ar"/>
              </w:rPr>
              <w:t xml:space="preserve"> </w:t>
            </w:r>
            <w:r>
              <w:rPr>
                <w:rFonts w:ascii="Times New Roman" w:hAnsi="Times New Roman" w:hint="default"/>
                <w:color w:val="000000"/>
              </w:rPr>
              <w:t>重庆市黔江区物流（口岸）服务中心</w:t>
            </w:r>
          </w:p>
        </w:tc>
        <w:tc>
          <w:tcPr>
            <w:tcW w:w="2473"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558"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2639" w:type="dxa"/>
            <w:tcBorders>
              <w:top w:val="nil"/>
              <w:left w:val="nil"/>
              <w:bottom w:val="nil"/>
              <w:right w:val="nil"/>
            </w:tcBorders>
            <w:shd w:val="clear" w:color="auto" w:fill="auto"/>
            <w:noWrap/>
            <w:tcMar>
              <w:top w:w="15" w:type="dxa"/>
              <w:left w:w="15" w:type="dxa"/>
              <w:right w:w="15" w:type="dxa"/>
            </w:tcMar>
            <w:vAlign w:val="bottom"/>
          </w:tcPr>
          <w:p w:rsidR="00D05B95" w:rsidRDefault="00B7689C">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07</w:t>
            </w:r>
            <w:r>
              <w:rPr>
                <w:rFonts w:ascii="Times New Roman" w:hAnsi="Times New Roman" w:hint="default"/>
                <w:color w:val="000000"/>
                <w:lang w:bidi="ar"/>
              </w:rPr>
              <w:t>表</w:t>
            </w:r>
          </w:p>
        </w:tc>
      </w:tr>
      <w:tr w:rsidR="00D05B95">
        <w:trPr>
          <w:trHeight w:val="329"/>
        </w:trPr>
        <w:tc>
          <w:tcPr>
            <w:tcW w:w="7151" w:type="dxa"/>
            <w:gridSpan w:val="2"/>
            <w:vMerge/>
            <w:tcBorders>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2558"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2639" w:type="dxa"/>
            <w:tcBorders>
              <w:top w:val="nil"/>
              <w:left w:val="nil"/>
              <w:bottom w:val="nil"/>
              <w:right w:val="nil"/>
            </w:tcBorders>
            <w:shd w:val="clear" w:color="auto" w:fill="auto"/>
            <w:noWrap/>
            <w:tcMar>
              <w:top w:w="15" w:type="dxa"/>
              <w:left w:w="15" w:type="dxa"/>
              <w:right w:w="15" w:type="dxa"/>
            </w:tcMar>
            <w:vAlign w:val="bottom"/>
          </w:tcPr>
          <w:p w:rsidR="00D05B95" w:rsidRDefault="00B7689C">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D05B95">
        <w:trPr>
          <w:trHeight w:val="339"/>
        </w:trPr>
        <w:tc>
          <w:tcPr>
            <w:tcW w:w="7151" w:type="dxa"/>
            <w:gridSpan w:val="2"/>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w:t>
            </w:r>
          </w:p>
        </w:tc>
        <w:tc>
          <w:tcPr>
            <w:tcW w:w="2473"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年初结转和结余</w:t>
            </w:r>
          </w:p>
        </w:tc>
        <w:tc>
          <w:tcPr>
            <w:tcW w:w="247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本年收入</w:t>
            </w:r>
          </w:p>
        </w:tc>
        <w:tc>
          <w:tcPr>
            <w:tcW w:w="7504" w:type="dxa"/>
            <w:gridSpan w:val="3"/>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本年支出</w:t>
            </w:r>
          </w:p>
        </w:tc>
        <w:tc>
          <w:tcPr>
            <w:tcW w:w="2639"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年末结转和结余</w:t>
            </w:r>
          </w:p>
        </w:tc>
      </w:tr>
      <w:tr w:rsidR="00D05B95">
        <w:trPr>
          <w:trHeight w:val="335"/>
        </w:trPr>
        <w:tc>
          <w:tcPr>
            <w:tcW w:w="2686"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功能分类科目编码</w:t>
            </w:r>
          </w:p>
        </w:tc>
        <w:tc>
          <w:tcPr>
            <w:tcW w:w="4465"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项目（按</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项</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级功能分类科目）</w:t>
            </w:r>
          </w:p>
        </w:tc>
        <w:tc>
          <w:tcPr>
            <w:tcW w:w="2473"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47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473"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2473"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基本支出</w:t>
            </w:r>
          </w:p>
        </w:tc>
        <w:tc>
          <w:tcPr>
            <w:tcW w:w="2558"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项目支出</w:t>
            </w:r>
          </w:p>
        </w:tc>
        <w:tc>
          <w:tcPr>
            <w:tcW w:w="263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r>
      <w:tr w:rsidR="00D05B95">
        <w:trPr>
          <w:trHeight w:val="335"/>
        </w:trPr>
        <w:tc>
          <w:tcPr>
            <w:tcW w:w="268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4465"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473"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47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47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47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558"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63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r>
      <w:tr w:rsidR="00D05B95">
        <w:trPr>
          <w:trHeight w:val="645"/>
        </w:trPr>
        <w:tc>
          <w:tcPr>
            <w:tcW w:w="268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4465"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473"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47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47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47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558"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263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r>
      <w:tr w:rsidR="00D05B95">
        <w:trPr>
          <w:trHeight w:val="339"/>
        </w:trPr>
        <w:tc>
          <w:tcPr>
            <w:tcW w:w="7151" w:type="dxa"/>
            <w:gridSpan w:val="2"/>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5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63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r>
      <w:tr w:rsidR="00D05B95">
        <w:trPr>
          <w:trHeight w:val="349"/>
        </w:trPr>
        <w:tc>
          <w:tcPr>
            <w:tcW w:w="26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both"/>
              <w:textAlignment w:val="center"/>
              <w:rPr>
                <w:rFonts w:ascii="Times New Roman" w:hAnsi="Times New Roman" w:hint="default"/>
                <w:color w:val="000000"/>
                <w:sz w:val="22"/>
                <w:szCs w:val="22"/>
              </w:rPr>
            </w:pPr>
          </w:p>
        </w:tc>
        <w:tc>
          <w:tcPr>
            <w:tcW w:w="446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both"/>
              <w:textAlignment w:val="center"/>
              <w:rPr>
                <w:rFonts w:ascii="Times New Roman" w:hAnsi="Times New Roman" w:hint="default"/>
                <w:color w:val="000000"/>
                <w:sz w:val="22"/>
                <w:szCs w:val="22"/>
              </w:rPr>
            </w:pP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25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263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bl>
    <w:p w:rsidR="00D05B95" w:rsidRDefault="00B7689C">
      <w:pPr>
        <w:rPr>
          <w:rFonts w:ascii="Times New Roman" w:hAnsi="Times New Roman" w:hint="default"/>
          <w:sz w:val="21"/>
          <w:szCs w:val="21"/>
        </w:rPr>
      </w:pPr>
      <w:r>
        <w:rPr>
          <w:rFonts w:ascii="Times New Roman" w:hAnsi="Times New Roman" w:hint="default"/>
          <w:sz w:val="21"/>
          <w:szCs w:val="21"/>
          <w:lang w:bidi="ar"/>
        </w:rPr>
        <w:t>备注：本表反映单位本年度政府性基金预算财政拨款收入支出及结转和结余情况。本单位无政府性基金收支，故本表无数据。</w:t>
      </w:r>
      <w:r>
        <w:rPr>
          <w:rFonts w:ascii="Times New Roman" w:hAnsi="Times New Roman" w:hint="default"/>
          <w:sz w:val="21"/>
          <w:szCs w:val="21"/>
          <w:lang w:bidi="ar"/>
        </w:rPr>
        <w:br/>
      </w:r>
      <w:r>
        <w:rPr>
          <w:rFonts w:ascii="Times New Roman" w:hAnsi="Times New Roman" w:hint="default"/>
          <w:sz w:val="21"/>
          <w:szCs w:val="21"/>
        </w:rPr>
        <w:br/>
      </w:r>
    </w:p>
    <w:p w:rsidR="00D05B95" w:rsidRDefault="00B7689C">
      <w:pPr>
        <w:rPr>
          <w:rFonts w:ascii="Times New Roman" w:hAnsi="Times New Roman" w:hint="default"/>
          <w:sz w:val="21"/>
          <w:szCs w:val="21"/>
        </w:rPr>
      </w:pPr>
      <w:r>
        <w:rPr>
          <w:rFonts w:ascii="Times New Roman" w:hAnsi="Times New Roman" w:hint="default"/>
          <w:sz w:val="21"/>
          <w:szCs w:val="21"/>
        </w:rPr>
        <w:br w:type="page"/>
      </w:r>
    </w:p>
    <w:tbl>
      <w:tblPr>
        <w:tblW w:w="22220" w:type="dxa"/>
        <w:tblLayout w:type="fixed"/>
        <w:tblCellMar>
          <w:left w:w="0" w:type="dxa"/>
          <w:right w:w="0" w:type="dxa"/>
        </w:tblCellMar>
        <w:tblLook w:val="04A0" w:firstRow="1" w:lastRow="0" w:firstColumn="1" w:lastColumn="0" w:noHBand="0" w:noVBand="1"/>
      </w:tblPr>
      <w:tblGrid>
        <w:gridCol w:w="2729"/>
        <w:gridCol w:w="4420"/>
        <w:gridCol w:w="4736"/>
        <w:gridCol w:w="5423"/>
        <w:gridCol w:w="4912"/>
      </w:tblGrid>
      <w:tr w:rsidR="00D05B95">
        <w:trPr>
          <w:trHeight w:val="650"/>
        </w:trPr>
        <w:tc>
          <w:tcPr>
            <w:tcW w:w="22220" w:type="dxa"/>
            <w:gridSpan w:val="5"/>
            <w:tcBorders>
              <w:top w:val="nil"/>
              <w:left w:val="nil"/>
              <w:bottom w:val="nil"/>
              <w:right w:val="nil"/>
            </w:tcBorders>
            <w:shd w:val="clear" w:color="auto" w:fill="auto"/>
            <w:noWrap/>
            <w:tcMar>
              <w:top w:w="15" w:type="dxa"/>
              <w:left w:w="15" w:type="dxa"/>
              <w:right w:w="15" w:type="dxa"/>
            </w:tcMar>
            <w:vAlign w:val="bottom"/>
          </w:tcPr>
          <w:p w:rsidR="00D05B95" w:rsidRDefault="00B7689C">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lastRenderedPageBreak/>
              <w:t>国有资本经营预算财政拨款支出决算表</w:t>
            </w:r>
          </w:p>
        </w:tc>
      </w:tr>
      <w:tr w:rsidR="00D05B95">
        <w:trPr>
          <w:trHeight w:val="332"/>
        </w:trPr>
        <w:tc>
          <w:tcPr>
            <w:tcW w:w="7149" w:type="dxa"/>
            <w:gridSpan w:val="2"/>
            <w:vMerge w:val="restart"/>
            <w:tcBorders>
              <w:top w:val="nil"/>
              <w:left w:val="nil"/>
              <w:right w:val="nil"/>
            </w:tcBorders>
            <w:shd w:val="clear" w:color="auto" w:fill="auto"/>
            <w:noWrap/>
            <w:tcMar>
              <w:top w:w="15" w:type="dxa"/>
              <w:left w:w="15" w:type="dxa"/>
              <w:right w:w="15" w:type="dxa"/>
            </w:tcMar>
            <w:vAlign w:val="bottom"/>
          </w:tcPr>
          <w:p w:rsidR="00D05B95" w:rsidRDefault="00B7689C">
            <w:pPr>
              <w:rPr>
                <w:rFonts w:ascii="Times New Roman" w:hAnsi="Times New Roman" w:hint="default"/>
                <w:color w:val="000000"/>
                <w:sz w:val="20"/>
                <w:szCs w:val="20"/>
              </w:rPr>
            </w:pPr>
            <w:r>
              <w:rPr>
                <w:rFonts w:ascii="Times New Roman" w:eastAsiaTheme="minorEastAsia" w:hAnsi="Times New Roman" w:hint="default"/>
              </w:rPr>
              <w:t>公开单位</w:t>
            </w:r>
            <w:r>
              <w:rPr>
                <w:rFonts w:ascii="Times New Roman" w:eastAsiaTheme="minorEastAsia" w:hAnsi="Times New Roman" w:hint="default"/>
                <w:color w:val="000000"/>
                <w:lang w:bidi="ar"/>
              </w:rPr>
              <w:t>：</w:t>
            </w:r>
            <w:r>
              <w:rPr>
                <w:rFonts w:ascii="Times New Roman" w:eastAsiaTheme="minorEastAsia" w:hAnsi="Times New Roman" w:hint="default"/>
                <w:color w:val="000000"/>
                <w:lang w:bidi="ar"/>
              </w:rPr>
              <w:t xml:space="preserve"> </w:t>
            </w:r>
            <w:r>
              <w:rPr>
                <w:rFonts w:ascii="Times New Roman" w:hAnsi="Times New Roman" w:hint="default"/>
                <w:color w:val="000000"/>
              </w:rPr>
              <w:t>重庆市黔江区物流（口岸）服务中心</w:t>
            </w:r>
          </w:p>
        </w:tc>
        <w:tc>
          <w:tcPr>
            <w:tcW w:w="4736"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5423"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0"/>
                <w:szCs w:val="20"/>
              </w:rPr>
            </w:pPr>
          </w:p>
        </w:tc>
        <w:tc>
          <w:tcPr>
            <w:tcW w:w="4912" w:type="dxa"/>
            <w:tcBorders>
              <w:top w:val="nil"/>
              <w:left w:val="nil"/>
              <w:bottom w:val="nil"/>
              <w:right w:val="nil"/>
            </w:tcBorders>
            <w:shd w:val="clear" w:color="auto" w:fill="auto"/>
            <w:noWrap/>
            <w:tcMar>
              <w:top w:w="15" w:type="dxa"/>
              <w:left w:w="15" w:type="dxa"/>
              <w:right w:w="15" w:type="dxa"/>
            </w:tcMar>
            <w:vAlign w:val="bottom"/>
          </w:tcPr>
          <w:p w:rsidR="00D05B95" w:rsidRDefault="00B7689C">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08</w:t>
            </w:r>
            <w:r>
              <w:rPr>
                <w:rFonts w:ascii="Times New Roman" w:hAnsi="Times New Roman" w:hint="default"/>
                <w:color w:val="000000"/>
                <w:lang w:bidi="ar"/>
              </w:rPr>
              <w:t>表</w:t>
            </w:r>
          </w:p>
        </w:tc>
      </w:tr>
      <w:tr w:rsidR="00D05B95">
        <w:trPr>
          <w:trHeight w:val="332"/>
        </w:trPr>
        <w:tc>
          <w:tcPr>
            <w:tcW w:w="7149" w:type="dxa"/>
            <w:gridSpan w:val="2"/>
            <w:vMerge/>
            <w:tcBorders>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4736"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5423" w:type="dxa"/>
            <w:tcBorders>
              <w:top w:val="nil"/>
              <w:left w:val="nil"/>
              <w:bottom w:val="nil"/>
              <w:right w:val="nil"/>
            </w:tcBorders>
            <w:shd w:val="clear" w:color="auto" w:fill="auto"/>
            <w:noWrap/>
            <w:tcMar>
              <w:top w:w="15" w:type="dxa"/>
              <w:left w:w="15" w:type="dxa"/>
              <w:right w:w="15" w:type="dxa"/>
            </w:tcMar>
            <w:vAlign w:val="bottom"/>
          </w:tcPr>
          <w:p w:rsidR="00D05B95" w:rsidRDefault="00D05B95">
            <w:pPr>
              <w:rPr>
                <w:rFonts w:ascii="Times New Roman" w:hAnsi="Times New Roman" w:hint="default"/>
                <w:color w:val="000000"/>
                <w:sz w:val="22"/>
                <w:szCs w:val="22"/>
              </w:rPr>
            </w:pPr>
          </w:p>
        </w:tc>
        <w:tc>
          <w:tcPr>
            <w:tcW w:w="4912" w:type="dxa"/>
            <w:tcBorders>
              <w:top w:val="nil"/>
              <w:left w:val="nil"/>
              <w:bottom w:val="nil"/>
              <w:right w:val="nil"/>
            </w:tcBorders>
            <w:shd w:val="clear" w:color="auto" w:fill="auto"/>
            <w:noWrap/>
            <w:tcMar>
              <w:top w:w="15" w:type="dxa"/>
              <w:left w:w="15" w:type="dxa"/>
              <w:right w:w="15" w:type="dxa"/>
            </w:tcMar>
            <w:vAlign w:val="bottom"/>
          </w:tcPr>
          <w:p w:rsidR="00D05B95" w:rsidRDefault="00B7689C">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D05B95">
        <w:trPr>
          <w:trHeight w:val="422"/>
        </w:trPr>
        <w:tc>
          <w:tcPr>
            <w:tcW w:w="7149" w:type="dxa"/>
            <w:gridSpan w:val="2"/>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D05B95" w:rsidRDefault="00B7689C">
            <w:pPr>
              <w:jc w:val="center"/>
              <w:textAlignment w:val="bottom"/>
              <w:rPr>
                <w:rFonts w:ascii="Times New Roman" w:hAnsi="Times New Roman" w:hint="default"/>
                <w:b/>
                <w:color w:val="000000"/>
                <w:sz w:val="22"/>
                <w:szCs w:val="22"/>
              </w:rPr>
            </w:pPr>
            <w:r>
              <w:rPr>
                <w:rFonts w:ascii="Times New Roman" w:hAnsi="Times New Roman" w:hint="default"/>
                <w:b/>
                <w:color w:val="000000"/>
                <w:sz w:val="22"/>
                <w:szCs w:val="22"/>
                <w:lang w:bidi="ar"/>
              </w:rPr>
              <w:t>项目</w:t>
            </w:r>
          </w:p>
        </w:tc>
        <w:tc>
          <w:tcPr>
            <w:tcW w:w="15071" w:type="dxa"/>
            <w:gridSpan w:val="3"/>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D05B95" w:rsidRDefault="00B7689C">
            <w:pPr>
              <w:jc w:val="center"/>
              <w:textAlignment w:val="bottom"/>
              <w:rPr>
                <w:rFonts w:ascii="Times New Roman" w:hAnsi="Times New Roman" w:hint="default"/>
                <w:b/>
                <w:color w:val="000000"/>
                <w:sz w:val="22"/>
                <w:szCs w:val="22"/>
              </w:rPr>
            </w:pPr>
            <w:r>
              <w:rPr>
                <w:rFonts w:ascii="Times New Roman" w:hAnsi="Times New Roman" w:hint="default"/>
                <w:b/>
                <w:color w:val="000000"/>
                <w:sz w:val="22"/>
                <w:szCs w:val="22"/>
                <w:lang w:bidi="ar"/>
              </w:rPr>
              <w:t>本年支出</w:t>
            </w:r>
          </w:p>
        </w:tc>
      </w:tr>
      <w:tr w:rsidR="00D05B95">
        <w:trPr>
          <w:trHeight w:val="339"/>
        </w:trPr>
        <w:tc>
          <w:tcPr>
            <w:tcW w:w="2729"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功能分类科目编码</w:t>
            </w:r>
          </w:p>
        </w:tc>
        <w:tc>
          <w:tcPr>
            <w:tcW w:w="4420"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科目名称</w:t>
            </w:r>
          </w:p>
        </w:tc>
        <w:tc>
          <w:tcPr>
            <w:tcW w:w="4736"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5423"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基本支出</w:t>
            </w:r>
          </w:p>
        </w:tc>
        <w:tc>
          <w:tcPr>
            <w:tcW w:w="4912"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项目支出</w:t>
            </w:r>
          </w:p>
        </w:tc>
      </w:tr>
      <w:tr w:rsidR="00D05B95">
        <w:trPr>
          <w:trHeight w:val="339"/>
        </w:trPr>
        <w:tc>
          <w:tcPr>
            <w:tcW w:w="2729"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442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4736"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542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4912"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r>
      <w:tr w:rsidR="00D05B95">
        <w:trPr>
          <w:trHeight w:val="339"/>
        </w:trPr>
        <w:tc>
          <w:tcPr>
            <w:tcW w:w="2729"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442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4736"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542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4912"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r>
      <w:tr w:rsidR="00D05B95">
        <w:trPr>
          <w:trHeight w:val="312"/>
        </w:trPr>
        <w:tc>
          <w:tcPr>
            <w:tcW w:w="2729"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442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4736"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542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c>
          <w:tcPr>
            <w:tcW w:w="4912"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D05B95" w:rsidRDefault="00D05B95">
            <w:pPr>
              <w:jc w:val="center"/>
              <w:rPr>
                <w:rFonts w:ascii="Times New Roman" w:hAnsi="Times New Roman" w:hint="default"/>
                <w:b/>
                <w:color w:val="000000"/>
                <w:sz w:val="22"/>
                <w:szCs w:val="22"/>
              </w:rPr>
            </w:pPr>
          </w:p>
        </w:tc>
      </w:tr>
      <w:tr w:rsidR="00D05B95">
        <w:trPr>
          <w:trHeight w:val="611"/>
        </w:trPr>
        <w:tc>
          <w:tcPr>
            <w:tcW w:w="7149" w:type="dxa"/>
            <w:gridSpan w:val="2"/>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D05B95" w:rsidRDefault="00B7689C">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47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542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b/>
                <w:color w:val="000000"/>
                <w:sz w:val="22"/>
                <w:szCs w:val="22"/>
              </w:rPr>
            </w:pPr>
          </w:p>
        </w:tc>
        <w:tc>
          <w:tcPr>
            <w:tcW w:w="491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r>
      <w:tr w:rsidR="00D05B95">
        <w:trPr>
          <w:trHeight w:val="488"/>
        </w:trPr>
        <w:tc>
          <w:tcPr>
            <w:tcW w:w="272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textAlignment w:val="center"/>
              <w:rPr>
                <w:rFonts w:ascii="Times New Roman" w:hAnsi="Times New Roman" w:hint="default"/>
                <w:color w:val="000000"/>
                <w:sz w:val="22"/>
                <w:szCs w:val="22"/>
              </w:rPr>
            </w:pPr>
          </w:p>
        </w:tc>
        <w:tc>
          <w:tcPr>
            <w:tcW w:w="44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textAlignment w:val="center"/>
              <w:rPr>
                <w:rFonts w:ascii="Times New Roman" w:hAnsi="Times New Roman" w:hint="default"/>
                <w:color w:val="000000"/>
                <w:sz w:val="22"/>
                <w:szCs w:val="22"/>
              </w:rPr>
            </w:pPr>
          </w:p>
        </w:tc>
        <w:tc>
          <w:tcPr>
            <w:tcW w:w="47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542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D05B95">
            <w:pPr>
              <w:jc w:val="right"/>
              <w:rPr>
                <w:rFonts w:ascii="Times New Roman" w:hAnsi="Times New Roman" w:hint="default"/>
                <w:b/>
                <w:color w:val="000000"/>
                <w:sz w:val="22"/>
                <w:szCs w:val="22"/>
              </w:rPr>
            </w:pPr>
          </w:p>
        </w:tc>
        <w:tc>
          <w:tcPr>
            <w:tcW w:w="491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05B95" w:rsidRDefault="00B7689C">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bl>
    <w:p w:rsidR="00D05B95" w:rsidRDefault="00B7689C">
      <w:pPr>
        <w:rPr>
          <w:rFonts w:ascii="Times New Roman" w:hAnsi="Times New Roman" w:hint="default"/>
          <w:sz w:val="21"/>
          <w:szCs w:val="21"/>
          <w:lang w:bidi="ar"/>
        </w:rPr>
      </w:pPr>
      <w:r>
        <w:rPr>
          <w:rFonts w:ascii="Times New Roman" w:hAnsi="Times New Roman" w:hint="default"/>
          <w:sz w:val="21"/>
          <w:szCs w:val="21"/>
          <w:lang w:bidi="ar"/>
        </w:rPr>
        <w:t>备注：本表反映单位本年度国有资本经营预算财政拨款支出情况。本单位无国有资本经营收支，故本表无数据。</w:t>
      </w:r>
      <w:r>
        <w:rPr>
          <w:rFonts w:ascii="Times New Roman" w:hAnsi="Times New Roman" w:hint="default"/>
          <w:sz w:val="21"/>
          <w:szCs w:val="21"/>
          <w:lang w:bidi="ar"/>
        </w:rPr>
        <w:br/>
      </w:r>
      <w:r>
        <w:rPr>
          <w:rFonts w:ascii="Times New Roman" w:hAnsi="Times New Roman" w:hint="default"/>
          <w:sz w:val="21"/>
          <w:szCs w:val="21"/>
        </w:rPr>
        <w:br/>
      </w:r>
    </w:p>
    <w:p w:rsidR="00D05B95" w:rsidRDefault="00B7689C">
      <w:pPr>
        <w:rPr>
          <w:rFonts w:ascii="Times New Roman" w:hAnsi="Times New Roman" w:hint="default"/>
          <w:sz w:val="21"/>
          <w:szCs w:val="21"/>
        </w:rPr>
      </w:pPr>
      <w:r>
        <w:rPr>
          <w:rFonts w:ascii="Times New Roman" w:hAnsi="Times New Roman" w:hint="default"/>
          <w:sz w:val="21"/>
          <w:szCs w:val="21"/>
        </w:rPr>
        <w:br w:type="page"/>
      </w:r>
    </w:p>
    <w:tbl>
      <w:tblPr>
        <w:tblW w:w="22168" w:type="dxa"/>
        <w:tblLayout w:type="fixed"/>
        <w:tblCellMar>
          <w:left w:w="0" w:type="dxa"/>
          <w:right w:w="0" w:type="dxa"/>
        </w:tblCellMar>
        <w:tblLook w:val="04A0" w:firstRow="1" w:lastRow="0" w:firstColumn="1" w:lastColumn="0" w:noHBand="0" w:noVBand="1"/>
      </w:tblPr>
      <w:tblGrid>
        <w:gridCol w:w="5159"/>
        <w:gridCol w:w="3822"/>
        <w:gridCol w:w="3281"/>
        <w:gridCol w:w="6581"/>
        <w:gridCol w:w="3325"/>
      </w:tblGrid>
      <w:tr w:rsidR="00641B12" w:rsidTr="005F5D08">
        <w:trPr>
          <w:trHeight w:val="510"/>
        </w:trPr>
        <w:tc>
          <w:tcPr>
            <w:tcW w:w="22168" w:type="dxa"/>
            <w:gridSpan w:val="5"/>
            <w:tcBorders>
              <w:top w:val="nil"/>
              <w:left w:val="nil"/>
              <w:bottom w:val="nil"/>
              <w:right w:val="nil"/>
            </w:tcBorders>
            <w:shd w:val="clear" w:color="auto" w:fill="auto"/>
            <w:noWrap/>
            <w:tcMar>
              <w:top w:w="15" w:type="dxa"/>
              <w:left w:w="15" w:type="dxa"/>
              <w:right w:w="15" w:type="dxa"/>
            </w:tcMar>
            <w:vAlign w:val="bottom"/>
          </w:tcPr>
          <w:p w:rsidR="00641B12" w:rsidRDefault="00641B12" w:rsidP="005F5D08">
            <w:pPr>
              <w:jc w:val="center"/>
              <w:textAlignment w:val="bottom"/>
              <w:rPr>
                <w:rFonts w:cs="宋体" w:hint="default"/>
                <w:b/>
                <w:color w:val="000000"/>
                <w:sz w:val="40"/>
                <w:szCs w:val="40"/>
              </w:rPr>
            </w:pPr>
            <w:r>
              <w:rPr>
                <w:rFonts w:cs="宋体"/>
                <w:b/>
                <w:color w:val="000000"/>
                <w:sz w:val="44"/>
                <w:szCs w:val="44"/>
                <w:lang w:bidi="ar"/>
              </w:rPr>
              <w:lastRenderedPageBreak/>
              <w:t>机构运行信息表</w:t>
            </w:r>
          </w:p>
        </w:tc>
      </w:tr>
      <w:tr w:rsidR="00641B12" w:rsidTr="005F5D08">
        <w:trPr>
          <w:trHeight w:val="255"/>
        </w:trPr>
        <w:tc>
          <w:tcPr>
            <w:tcW w:w="5159" w:type="dxa"/>
            <w:tcBorders>
              <w:top w:val="nil"/>
              <w:left w:val="nil"/>
              <w:bottom w:val="nil"/>
              <w:right w:val="nil"/>
            </w:tcBorders>
            <w:shd w:val="clear" w:color="auto" w:fill="auto"/>
            <w:noWrap/>
            <w:tcMar>
              <w:top w:w="15" w:type="dxa"/>
              <w:left w:w="15" w:type="dxa"/>
              <w:right w:w="15" w:type="dxa"/>
            </w:tcMar>
            <w:vAlign w:val="bottom"/>
          </w:tcPr>
          <w:p w:rsidR="00641B12" w:rsidRDefault="00641B12" w:rsidP="005F5D08">
            <w:pPr>
              <w:rPr>
                <w:rFonts w:ascii="Arial" w:hAnsi="Arial" w:cs="Arial" w:hint="default"/>
                <w:color w:val="000000"/>
                <w:sz w:val="20"/>
                <w:szCs w:val="20"/>
              </w:rPr>
            </w:pPr>
          </w:p>
        </w:tc>
        <w:tc>
          <w:tcPr>
            <w:tcW w:w="3822" w:type="dxa"/>
            <w:tcBorders>
              <w:top w:val="nil"/>
              <w:left w:val="nil"/>
              <w:bottom w:val="nil"/>
              <w:right w:val="nil"/>
            </w:tcBorders>
            <w:shd w:val="clear" w:color="auto" w:fill="auto"/>
            <w:noWrap/>
            <w:tcMar>
              <w:top w:w="15" w:type="dxa"/>
              <w:left w:w="15" w:type="dxa"/>
              <w:right w:w="15" w:type="dxa"/>
            </w:tcMar>
            <w:vAlign w:val="bottom"/>
          </w:tcPr>
          <w:p w:rsidR="00641B12" w:rsidRDefault="00641B12" w:rsidP="005F5D08">
            <w:pPr>
              <w:jc w:val="center"/>
              <w:rPr>
                <w:rFonts w:ascii="Arial" w:hAnsi="Arial" w:cs="Arial" w:hint="default"/>
                <w:color w:val="000000"/>
                <w:sz w:val="20"/>
                <w:szCs w:val="20"/>
              </w:rPr>
            </w:pPr>
          </w:p>
        </w:tc>
        <w:tc>
          <w:tcPr>
            <w:tcW w:w="3281" w:type="dxa"/>
            <w:tcBorders>
              <w:top w:val="nil"/>
              <w:left w:val="nil"/>
              <w:bottom w:val="nil"/>
              <w:right w:val="nil"/>
            </w:tcBorders>
            <w:shd w:val="clear" w:color="auto" w:fill="auto"/>
            <w:noWrap/>
            <w:tcMar>
              <w:top w:w="15" w:type="dxa"/>
              <w:left w:w="15" w:type="dxa"/>
              <w:right w:w="15" w:type="dxa"/>
            </w:tcMar>
            <w:vAlign w:val="bottom"/>
          </w:tcPr>
          <w:p w:rsidR="00641B12" w:rsidRDefault="00641B12" w:rsidP="005F5D08">
            <w:pPr>
              <w:jc w:val="right"/>
              <w:rPr>
                <w:rFonts w:ascii="Arial" w:hAnsi="Arial" w:cs="Arial" w:hint="default"/>
                <w:color w:val="000000"/>
                <w:sz w:val="20"/>
                <w:szCs w:val="20"/>
              </w:rPr>
            </w:pPr>
          </w:p>
        </w:tc>
        <w:tc>
          <w:tcPr>
            <w:tcW w:w="6581" w:type="dxa"/>
            <w:tcBorders>
              <w:top w:val="nil"/>
              <w:left w:val="nil"/>
              <w:bottom w:val="nil"/>
              <w:right w:val="nil"/>
            </w:tcBorders>
            <w:shd w:val="clear" w:color="auto" w:fill="auto"/>
            <w:noWrap/>
            <w:tcMar>
              <w:top w:w="15" w:type="dxa"/>
              <w:left w:w="15" w:type="dxa"/>
              <w:right w:w="15" w:type="dxa"/>
            </w:tcMar>
            <w:vAlign w:val="bottom"/>
          </w:tcPr>
          <w:p w:rsidR="00641B12" w:rsidRDefault="00641B12" w:rsidP="005F5D08">
            <w:pPr>
              <w:rPr>
                <w:rFonts w:ascii="Arial" w:hAnsi="Arial" w:cs="Arial" w:hint="default"/>
                <w:color w:val="000000"/>
                <w:sz w:val="20"/>
                <w:szCs w:val="20"/>
              </w:rPr>
            </w:pPr>
          </w:p>
        </w:tc>
        <w:tc>
          <w:tcPr>
            <w:tcW w:w="3325" w:type="dxa"/>
            <w:tcBorders>
              <w:top w:val="nil"/>
              <w:left w:val="nil"/>
              <w:bottom w:val="nil"/>
              <w:right w:val="nil"/>
            </w:tcBorders>
            <w:shd w:val="clear" w:color="auto" w:fill="auto"/>
            <w:noWrap/>
            <w:tcMar>
              <w:top w:w="15" w:type="dxa"/>
              <w:left w:w="15" w:type="dxa"/>
              <w:right w:w="15" w:type="dxa"/>
            </w:tcMar>
            <w:vAlign w:val="bottom"/>
          </w:tcPr>
          <w:p w:rsidR="00641B12" w:rsidRDefault="00641B12" w:rsidP="005F5D08">
            <w:pPr>
              <w:jc w:val="right"/>
              <w:textAlignment w:val="bottom"/>
              <w:rPr>
                <w:rFonts w:cs="宋体" w:hint="default"/>
                <w:color w:val="000000"/>
              </w:rPr>
            </w:pPr>
            <w:r>
              <w:rPr>
                <w:rFonts w:cs="宋体"/>
                <w:color w:val="000000"/>
                <w:lang w:bidi="ar"/>
              </w:rPr>
              <w:t>公开09表</w:t>
            </w:r>
          </w:p>
        </w:tc>
      </w:tr>
      <w:tr w:rsidR="00641B12" w:rsidTr="005F5D08">
        <w:trPr>
          <w:trHeight w:val="285"/>
        </w:trPr>
        <w:tc>
          <w:tcPr>
            <w:tcW w:w="5159" w:type="dxa"/>
            <w:tcBorders>
              <w:top w:val="nil"/>
              <w:left w:val="nil"/>
              <w:bottom w:val="nil"/>
              <w:right w:val="nil"/>
            </w:tcBorders>
            <w:shd w:val="clear" w:color="auto" w:fill="auto"/>
            <w:noWrap/>
            <w:tcMar>
              <w:top w:w="15" w:type="dxa"/>
              <w:left w:w="15" w:type="dxa"/>
              <w:right w:w="15" w:type="dxa"/>
            </w:tcMar>
            <w:vAlign w:val="bottom"/>
          </w:tcPr>
          <w:p w:rsidR="00641B12" w:rsidRDefault="00641B12" w:rsidP="005F5D08">
            <w:pPr>
              <w:textAlignment w:val="bottom"/>
              <w:rPr>
                <w:rFonts w:ascii="Arial" w:hAnsi="Arial" w:cs="Arial" w:hint="default"/>
                <w:color w:val="000000"/>
                <w:sz w:val="22"/>
                <w:szCs w:val="22"/>
              </w:rPr>
            </w:pPr>
            <w:r>
              <w:rPr>
                <w:rFonts w:asciiTheme="minorEastAsia" w:eastAsiaTheme="minorEastAsia" w:hAnsiTheme="minorEastAsia" w:cstheme="minorEastAsia"/>
              </w:rPr>
              <w:t>公开单位</w:t>
            </w:r>
            <w:r>
              <w:rPr>
                <w:rFonts w:asciiTheme="minorEastAsia" w:eastAsiaTheme="minorEastAsia" w:hAnsiTheme="minorEastAsia" w:cstheme="minorEastAsia"/>
                <w:color w:val="000000"/>
                <w:lang w:bidi="ar"/>
              </w:rPr>
              <w:t xml:space="preserve">： </w:t>
            </w:r>
            <w:r>
              <w:rPr>
                <w:color w:val="000000"/>
              </w:rPr>
              <w:t>重庆市黔江区物流（口岸）服务中心</w:t>
            </w:r>
          </w:p>
        </w:tc>
        <w:tc>
          <w:tcPr>
            <w:tcW w:w="3822" w:type="dxa"/>
            <w:tcBorders>
              <w:top w:val="nil"/>
              <w:left w:val="nil"/>
              <w:bottom w:val="nil"/>
              <w:right w:val="nil"/>
            </w:tcBorders>
            <w:shd w:val="clear" w:color="auto" w:fill="auto"/>
            <w:noWrap/>
            <w:tcMar>
              <w:top w:w="15" w:type="dxa"/>
              <w:left w:w="15" w:type="dxa"/>
              <w:right w:w="15" w:type="dxa"/>
            </w:tcMar>
            <w:vAlign w:val="bottom"/>
          </w:tcPr>
          <w:p w:rsidR="00641B12" w:rsidRDefault="00641B12" w:rsidP="005F5D08">
            <w:pPr>
              <w:jc w:val="center"/>
              <w:rPr>
                <w:rFonts w:cs="宋体" w:hint="default"/>
                <w:color w:val="000000"/>
                <w:sz w:val="22"/>
                <w:szCs w:val="22"/>
              </w:rPr>
            </w:pPr>
          </w:p>
        </w:tc>
        <w:tc>
          <w:tcPr>
            <w:tcW w:w="3281" w:type="dxa"/>
            <w:tcBorders>
              <w:top w:val="nil"/>
              <w:left w:val="nil"/>
              <w:bottom w:val="nil"/>
              <w:right w:val="nil"/>
            </w:tcBorders>
            <w:shd w:val="clear" w:color="auto" w:fill="auto"/>
            <w:noWrap/>
            <w:tcMar>
              <w:top w:w="15" w:type="dxa"/>
              <w:left w:w="15" w:type="dxa"/>
              <w:right w:w="15" w:type="dxa"/>
            </w:tcMar>
            <w:vAlign w:val="bottom"/>
          </w:tcPr>
          <w:p w:rsidR="00641B12" w:rsidRDefault="00641B12" w:rsidP="005F5D08">
            <w:pPr>
              <w:jc w:val="right"/>
              <w:rPr>
                <w:rFonts w:ascii="Arial" w:hAnsi="Arial" w:cs="Arial" w:hint="default"/>
                <w:color w:val="000000"/>
                <w:sz w:val="22"/>
                <w:szCs w:val="22"/>
              </w:rPr>
            </w:pPr>
          </w:p>
        </w:tc>
        <w:tc>
          <w:tcPr>
            <w:tcW w:w="6581" w:type="dxa"/>
            <w:tcBorders>
              <w:top w:val="nil"/>
              <w:left w:val="nil"/>
              <w:bottom w:val="nil"/>
              <w:right w:val="nil"/>
            </w:tcBorders>
            <w:shd w:val="clear" w:color="auto" w:fill="auto"/>
            <w:noWrap/>
            <w:tcMar>
              <w:top w:w="15" w:type="dxa"/>
              <w:left w:w="15" w:type="dxa"/>
              <w:right w:w="15" w:type="dxa"/>
            </w:tcMar>
            <w:vAlign w:val="bottom"/>
          </w:tcPr>
          <w:p w:rsidR="00641B12" w:rsidRDefault="00641B12" w:rsidP="005F5D08">
            <w:pPr>
              <w:rPr>
                <w:rFonts w:ascii="Arial" w:hAnsi="Arial" w:cs="Arial" w:hint="default"/>
                <w:color w:val="000000"/>
                <w:sz w:val="22"/>
                <w:szCs w:val="22"/>
              </w:rPr>
            </w:pPr>
          </w:p>
        </w:tc>
        <w:tc>
          <w:tcPr>
            <w:tcW w:w="3325" w:type="dxa"/>
            <w:tcBorders>
              <w:top w:val="nil"/>
              <w:left w:val="nil"/>
              <w:bottom w:val="nil"/>
              <w:right w:val="nil"/>
            </w:tcBorders>
            <w:shd w:val="clear" w:color="auto" w:fill="auto"/>
            <w:noWrap/>
            <w:tcMar>
              <w:top w:w="15" w:type="dxa"/>
              <w:left w:w="15" w:type="dxa"/>
              <w:right w:w="15" w:type="dxa"/>
            </w:tcMar>
            <w:vAlign w:val="bottom"/>
          </w:tcPr>
          <w:p w:rsidR="00641B12" w:rsidRDefault="00641B12" w:rsidP="005F5D08">
            <w:pPr>
              <w:jc w:val="right"/>
              <w:textAlignment w:val="bottom"/>
              <w:rPr>
                <w:rFonts w:cs="宋体" w:hint="default"/>
                <w:color w:val="000000"/>
              </w:rPr>
            </w:pPr>
            <w:r>
              <w:rPr>
                <w:rFonts w:cs="宋体"/>
                <w:color w:val="000000"/>
                <w:lang w:bidi="ar"/>
              </w:rPr>
              <w:t>单位：</w:t>
            </w:r>
            <w:r>
              <w:rPr>
                <w:rFonts w:cs="宋体"/>
              </w:rPr>
              <w:t>万元</w:t>
            </w:r>
          </w:p>
        </w:tc>
      </w:tr>
      <w:tr w:rsidR="00641B12" w:rsidTr="005F5D08">
        <w:trPr>
          <w:trHeight w:val="308"/>
        </w:trPr>
        <w:tc>
          <w:tcPr>
            <w:tcW w:w="5159" w:type="dxa"/>
            <w:tcBorders>
              <w:top w:val="single" w:sz="4" w:space="0" w:color="000000"/>
              <w:left w:val="single" w:sz="4" w:space="0" w:color="000000"/>
              <w:bottom w:val="single" w:sz="4" w:space="0" w:color="000000"/>
              <w:right w:val="nil"/>
            </w:tcBorders>
            <w:shd w:val="clear" w:color="FFFFFF" w:fill="C0C0C0"/>
            <w:noWrap/>
            <w:tcMar>
              <w:top w:w="15" w:type="dxa"/>
              <w:left w:w="15" w:type="dxa"/>
              <w:right w:w="15" w:type="dxa"/>
            </w:tcMar>
            <w:vAlign w:val="center"/>
          </w:tcPr>
          <w:p w:rsidR="00641B12" w:rsidRDefault="00641B12" w:rsidP="005F5D08">
            <w:pPr>
              <w:jc w:val="center"/>
              <w:textAlignment w:val="center"/>
              <w:rPr>
                <w:rFonts w:cs="宋体" w:hint="default"/>
                <w:b/>
                <w:color w:val="000000"/>
                <w:sz w:val="22"/>
                <w:szCs w:val="22"/>
              </w:rPr>
            </w:pPr>
            <w:r>
              <w:rPr>
                <w:rFonts w:cs="宋体"/>
                <w:b/>
                <w:color w:val="000000"/>
                <w:sz w:val="22"/>
                <w:szCs w:val="22"/>
                <w:lang w:bidi="ar"/>
              </w:rPr>
              <w:t>项  目</w:t>
            </w:r>
          </w:p>
        </w:tc>
        <w:tc>
          <w:tcPr>
            <w:tcW w:w="38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641B12" w:rsidRDefault="00641B12" w:rsidP="005F5D08">
            <w:pPr>
              <w:jc w:val="center"/>
              <w:textAlignment w:val="center"/>
              <w:rPr>
                <w:rFonts w:cs="宋体" w:hint="default"/>
                <w:b/>
                <w:color w:val="000000"/>
                <w:sz w:val="22"/>
                <w:szCs w:val="22"/>
              </w:rPr>
            </w:pPr>
            <w:r>
              <w:rPr>
                <w:rFonts w:cs="宋体"/>
                <w:b/>
                <w:color w:val="000000"/>
                <w:sz w:val="22"/>
                <w:szCs w:val="22"/>
                <w:lang w:bidi="ar"/>
              </w:rPr>
              <w:t>预算数</w:t>
            </w:r>
          </w:p>
        </w:tc>
        <w:tc>
          <w:tcPr>
            <w:tcW w:w="3281" w:type="dxa"/>
            <w:tcBorders>
              <w:top w:val="single" w:sz="4" w:space="0" w:color="000000"/>
              <w:left w:val="nil"/>
              <w:bottom w:val="nil"/>
              <w:right w:val="single" w:sz="4" w:space="0" w:color="000000"/>
            </w:tcBorders>
            <w:shd w:val="clear" w:color="FFFFFF" w:fill="C0C0C0"/>
            <w:noWrap/>
            <w:tcMar>
              <w:top w:w="15" w:type="dxa"/>
              <w:left w:w="15" w:type="dxa"/>
              <w:right w:w="15" w:type="dxa"/>
            </w:tcMar>
            <w:vAlign w:val="center"/>
          </w:tcPr>
          <w:p w:rsidR="00641B12" w:rsidRDefault="00641B12" w:rsidP="005F5D08">
            <w:pPr>
              <w:jc w:val="center"/>
              <w:textAlignment w:val="center"/>
              <w:rPr>
                <w:rFonts w:cs="宋体" w:hint="default"/>
                <w:b/>
                <w:color w:val="000000"/>
                <w:sz w:val="22"/>
                <w:szCs w:val="22"/>
              </w:rPr>
            </w:pPr>
            <w:r>
              <w:rPr>
                <w:rFonts w:cs="宋体"/>
                <w:b/>
                <w:color w:val="000000"/>
                <w:sz w:val="22"/>
                <w:szCs w:val="22"/>
                <w:lang w:bidi="ar"/>
              </w:rPr>
              <w:t>决算数</w:t>
            </w:r>
          </w:p>
        </w:tc>
        <w:tc>
          <w:tcPr>
            <w:tcW w:w="6581" w:type="dxa"/>
            <w:tcBorders>
              <w:top w:val="single" w:sz="4" w:space="0" w:color="000000"/>
              <w:left w:val="nil"/>
              <w:bottom w:val="single" w:sz="4" w:space="0" w:color="000000"/>
              <w:right w:val="single" w:sz="4" w:space="0" w:color="000000"/>
            </w:tcBorders>
            <w:shd w:val="clear" w:color="FFFFFF" w:fill="C0C0C0"/>
            <w:noWrap/>
            <w:tcMar>
              <w:top w:w="15" w:type="dxa"/>
              <w:left w:w="15" w:type="dxa"/>
              <w:right w:w="15" w:type="dxa"/>
            </w:tcMar>
            <w:vAlign w:val="center"/>
          </w:tcPr>
          <w:p w:rsidR="00641B12" w:rsidRDefault="00641B12" w:rsidP="005F5D08">
            <w:pPr>
              <w:jc w:val="center"/>
              <w:textAlignment w:val="center"/>
              <w:rPr>
                <w:rFonts w:cs="宋体" w:hint="default"/>
                <w:b/>
                <w:color w:val="000000"/>
                <w:sz w:val="22"/>
                <w:szCs w:val="22"/>
              </w:rPr>
            </w:pPr>
            <w:r>
              <w:rPr>
                <w:rFonts w:cs="宋体"/>
                <w:b/>
                <w:color w:val="000000"/>
                <w:sz w:val="22"/>
                <w:szCs w:val="22"/>
                <w:lang w:bidi="ar"/>
              </w:rPr>
              <w:t>项  目</w:t>
            </w:r>
          </w:p>
        </w:tc>
        <w:tc>
          <w:tcPr>
            <w:tcW w:w="3325" w:type="dxa"/>
            <w:tcBorders>
              <w:top w:val="single" w:sz="4" w:space="0" w:color="000000"/>
              <w:left w:val="nil"/>
              <w:bottom w:val="nil"/>
              <w:right w:val="single" w:sz="4" w:space="0" w:color="000000"/>
            </w:tcBorders>
            <w:shd w:val="clear" w:color="FFFFFF" w:fill="C0C0C0"/>
            <w:noWrap/>
            <w:tcMar>
              <w:top w:w="15" w:type="dxa"/>
              <w:left w:w="15" w:type="dxa"/>
              <w:right w:w="15" w:type="dxa"/>
            </w:tcMar>
            <w:vAlign w:val="center"/>
          </w:tcPr>
          <w:p w:rsidR="00641B12" w:rsidRDefault="00641B12" w:rsidP="005F5D08">
            <w:pPr>
              <w:jc w:val="center"/>
              <w:textAlignment w:val="center"/>
              <w:rPr>
                <w:rFonts w:cs="宋体" w:hint="default"/>
                <w:b/>
                <w:color w:val="000000"/>
                <w:sz w:val="22"/>
                <w:szCs w:val="22"/>
              </w:rPr>
            </w:pPr>
            <w:r>
              <w:rPr>
                <w:rFonts w:cs="宋体"/>
                <w:b/>
                <w:color w:val="000000"/>
                <w:sz w:val="22"/>
                <w:szCs w:val="22"/>
                <w:lang w:bidi="ar"/>
              </w:rPr>
              <w:t>决算数</w:t>
            </w:r>
          </w:p>
        </w:tc>
      </w:tr>
      <w:tr w:rsidR="00641B1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一、“三公”经费支出</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641B12" w:rsidRDefault="00641B1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641B12" w:rsidRDefault="00641B12" w:rsidP="005F5D08">
            <w:pPr>
              <w:jc w:val="center"/>
              <w:textAlignment w:val="center"/>
              <w:rPr>
                <w:rFonts w:cs="宋体" w:hint="default"/>
                <w:color w:val="000000"/>
                <w:sz w:val="22"/>
                <w:szCs w:val="22"/>
              </w:rPr>
            </w:pPr>
            <w:r>
              <w:rPr>
                <w:rFonts w:cs="宋体"/>
                <w:color w:val="000000"/>
                <w:sz w:val="22"/>
                <w:szCs w:val="22"/>
                <w:lang w:bidi="ar"/>
              </w:rPr>
              <w:t>—</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五、机关运行经费</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641B1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（一）支出合计</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（一）行政单位</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641B1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1．因公出国（境）费</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（二）参照公务员法管理事业单位</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641B1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2．公务用车购置及运行维护费</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六、资产信息</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41B12" w:rsidRDefault="00641B12" w:rsidP="005F5D08">
            <w:pPr>
              <w:jc w:val="center"/>
              <w:textAlignment w:val="center"/>
              <w:rPr>
                <w:rFonts w:cs="宋体" w:hint="default"/>
                <w:color w:val="000000"/>
                <w:sz w:val="22"/>
                <w:szCs w:val="22"/>
              </w:rPr>
            </w:pPr>
            <w:r>
              <w:rPr>
                <w:rFonts w:cs="宋体"/>
                <w:color w:val="000000"/>
                <w:sz w:val="22"/>
                <w:szCs w:val="22"/>
                <w:lang w:bidi="ar"/>
              </w:rPr>
              <w:t>—</w:t>
            </w:r>
          </w:p>
        </w:tc>
      </w:tr>
      <w:tr w:rsidR="00641B1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（1）公务用车购置费</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（一）车辆数合计（辆）</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641B1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（2）公务用车运行维护费</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1．副部（省）级及以上领导用车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641B1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3．公务接待费</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2．主要领导干部用车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641B1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（1）国内接待费</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41B12" w:rsidRDefault="00641B1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3．机要通信用车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641B1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其中：外事接待费</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41B12" w:rsidRDefault="00641B1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4．应急保障用车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641B1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（2）国（境）外接待费</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41B12" w:rsidRDefault="00641B1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5．执法执勤用车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641B1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（二）相关统计数</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41B12" w:rsidRDefault="00641B1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641B12" w:rsidRDefault="00641B12" w:rsidP="005F5D08">
            <w:pPr>
              <w:jc w:val="center"/>
              <w:textAlignment w:val="center"/>
              <w:rPr>
                <w:rFonts w:cs="宋体" w:hint="default"/>
                <w:color w:val="000000"/>
                <w:sz w:val="22"/>
                <w:szCs w:val="22"/>
              </w:rPr>
            </w:pPr>
            <w:r>
              <w:rPr>
                <w:rFonts w:cs="宋体"/>
                <w:color w:val="000000"/>
                <w:sz w:val="22"/>
                <w:szCs w:val="22"/>
                <w:lang w:bidi="ar"/>
              </w:rPr>
              <w:t>—</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6．特种专业技术用车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641B1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1．因公出国（境）团组数（个）</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41B12" w:rsidRDefault="00641B1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7．离退休干部用车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641B1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2．因公出国（境）人次数（人）</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41B12" w:rsidRDefault="00641B1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8．其他用车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641B1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3．公务用车购置数（辆）</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41B12" w:rsidRDefault="00641B1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（二）单价100万元（含）以上设备（不含车辆）</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641B1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4．公务用车保有量（辆）</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41B12" w:rsidRDefault="00641B1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七、政府采购支出信息</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41B12" w:rsidRDefault="00641B12" w:rsidP="005F5D08">
            <w:pPr>
              <w:jc w:val="center"/>
              <w:textAlignment w:val="center"/>
              <w:rPr>
                <w:rFonts w:cs="宋体" w:hint="default"/>
                <w:color w:val="000000"/>
                <w:sz w:val="22"/>
                <w:szCs w:val="22"/>
              </w:rPr>
            </w:pPr>
            <w:r>
              <w:rPr>
                <w:rFonts w:cs="宋体"/>
                <w:color w:val="000000"/>
                <w:sz w:val="22"/>
                <w:szCs w:val="22"/>
                <w:lang w:bidi="ar"/>
              </w:rPr>
              <w:t>—</w:t>
            </w:r>
          </w:p>
        </w:tc>
      </w:tr>
      <w:tr w:rsidR="00641B1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5．国内公务接待批次（个）</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41B12" w:rsidRDefault="00641B1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（一）政府采购支出合计</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641B1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其中：外事接待批次（个）</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41B12" w:rsidRDefault="00641B1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1．政府采购货物支出</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641B1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6．国内公务接待人次（人）</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41B12" w:rsidRDefault="00641B1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2．政府采购工程支出</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641B1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其中：外事接待人次（人）</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41B12" w:rsidRDefault="00641B1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3．政府采购服务支出</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641B1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7．国（境）外公务接待批次（个）</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41B12" w:rsidRDefault="00641B1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（二）政府采购授予中小企业合同金额</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641B1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8．国（境）外公务接待人次（人）</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641B12" w:rsidRDefault="00641B1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 xml:space="preserve">        其中：授予小微企业合同金额</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641B12" w:rsidTr="005F5D08">
        <w:trPr>
          <w:trHeight w:val="308"/>
        </w:trPr>
        <w:tc>
          <w:tcPr>
            <w:tcW w:w="5159" w:type="dxa"/>
            <w:tcBorders>
              <w:top w:val="nil"/>
              <w:left w:val="single" w:sz="4" w:space="0" w:color="000000"/>
              <w:bottom w:val="single" w:sz="4" w:space="0" w:color="auto"/>
              <w:right w:val="nil"/>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二、会议费</w:t>
            </w:r>
          </w:p>
        </w:tc>
        <w:tc>
          <w:tcPr>
            <w:tcW w:w="3822"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641B12" w:rsidRDefault="00641B1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cs="宋体" w:hint="default"/>
                <w:color w:val="000000"/>
                <w:sz w:val="21"/>
                <w:szCs w:val="21"/>
                <w:lang w:bidi="ar"/>
              </w:rPr>
            </w:pPr>
            <w:r>
              <w:rPr>
                <w:rFonts w:cs="宋体"/>
                <w:color w:val="000000"/>
                <w:sz w:val="21"/>
                <w:szCs w:val="21"/>
                <w:lang w:bidi="ar"/>
              </w:rPr>
              <w:t xml:space="preserve">  </w:t>
            </w:r>
          </w:p>
        </w:tc>
        <w:tc>
          <w:tcPr>
            <w:tcW w:w="6581" w:type="dxa"/>
            <w:tcBorders>
              <w:top w:val="nil"/>
              <w:left w:val="nil"/>
              <w:bottom w:val="single" w:sz="4" w:space="0" w:color="auto"/>
              <w:right w:val="single" w:sz="4" w:space="0" w:color="000000"/>
            </w:tcBorders>
            <w:shd w:val="clear" w:color="FFFFFF" w:fill="C0C0C0"/>
            <w:noWrap/>
            <w:tcMar>
              <w:top w:w="15" w:type="dxa"/>
              <w:left w:w="15" w:type="dxa"/>
              <w:right w:w="15" w:type="dxa"/>
            </w:tcMar>
            <w:vAlign w:val="center"/>
          </w:tcPr>
          <w:p w:rsidR="00641B12" w:rsidRDefault="00641B12" w:rsidP="005F5D08">
            <w:pPr>
              <w:rPr>
                <w:rFonts w:cs="宋体" w:hint="default"/>
                <w:color w:val="000000"/>
                <w:sz w:val="22"/>
                <w:szCs w:val="22"/>
              </w:rPr>
            </w:pP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jc w:val="right"/>
              <w:rPr>
                <w:rFonts w:ascii="Arial" w:hAnsi="Arial" w:cs="Arial" w:hint="default"/>
                <w:color w:val="000000"/>
                <w:sz w:val="20"/>
                <w:szCs w:val="20"/>
              </w:rPr>
            </w:pPr>
          </w:p>
        </w:tc>
      </w:tr>
      <w:tr w:rsidR="00641B12" w:rsidTr="005F5D08">
        <w:trPr>
          <w:trHeight w:val="308"/>
        </w:trPr>
        <w:tc>
          <w:tcPr>
            <w:tcW w:w="5159" w:type="dxa"/>
            <w:tcBorders>
              <w:top w:val="single" w:sz="4" w:space="0" w:color="auto"/>
              <w:left w:val="single" w:sz="4" w:space="0" w:color="auto"/>
              <w:bottom w:val="single" w:sz="4" w:space="0" w:color="auto"/>
              <w:right w:val="nil"/>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rPr>
            </w:pPr>
            <w:r>
              <w:rPr>
                <w:rFonts w:cs="宋体"/>
                <w:color w:val="000000"/>
                <w:sz w:val="22"/>
                <w:szCs w:val="22"/>
                <w:lang w:bidi="ar"/>
              </w:rPr>
              <w:t>三、培训费</w:t>
            </w:r>
          </w:p>
        </w:tc>
        <w:tc>
          <w:tcPr>
            <w:tcW w:w="3822" w:type="dxa"/>
            <w:tcBorders>
              <w:top w:val="single" w:sz="4" w:space="0" w:color="auto"/>
              <w:left w:val="nil"/>
              <w:bottom w:val="single" w:sz="4" w:space="0" w:color="auto"/>
              <w:right w:val="single" w:sz="4" w:space="0" w:color="auto"/>
            </w:tcBorders>
            <w:shd w:val="clear" w:color="auto" w:fill="auto"/>
            <w:noWrap/>
            <w:tcMar>
              <w:top w:w="15" w:type="dxa"/>
              <w:left w:w="15" w:type="dxa"/>
              <w:right w:w="15" w:type="dxa"/>
            </w:tcMar>
            <w:vAlign w:val="center"/>
          </w:tcPr>
          <w:p w:rsidR="00641B12" w:rsidRDefault="00641B1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single" w:sz="4" w:space="0" w:color="auto"/>
              <w:bottom w:val="single" w:sz="4" w:space="0" w:color="000000"/>
              <w:right w:val="single" w:sz="4" w:space="0" w:color="auto"/>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cs="宋体" w:hint="default"/>
                <w:color w:val="000000"/>
                <w:sz w:val="21"/>
                <w:szCs w:val="21"/>
                <w:lang w:bidi="ar"/>
              </w:rPr>
            </w:pPr>
            <w:r>
              <w:rPr>
                <w:rFonts w:cs="宋体"/>
                <w:color w:val="000000"/>
                <w:sz w:val="21"/>
                <w:szCs w:val="21"/>
                <w:lang w:bidi="ar"/>
              </w:rPr>
              <w:t xml:space="preserve"> 0.46 </w:t>
            </w:r>
          </w:p>
        </w:tc>
        <w:tc>
          <w:tcPr>
            <w:tcW w:w="6581" w:type="dxa"/>
            <w:tcBorders>
              <w:top w:val="single" w:sz="4" w:space="0" w:color="auto"/>
              <w:left w:val="single" w:sz="4" w:space="0" w:color="auto"/>
              <w:bottom w:val="single" w:sz="4" w:space="0" w:color="auto"/>
              <w:right w:val="single" w:sz="4" w:space="0" w:color="auto"/>
            </w:tcBorders>
            <w:shd w:val="clear" w:color="FFFFFF" w:fill="C0C0C0"/>
            <w:noWrap/>
            <w:tcMar>
              <w:top w:w="15" w:type="dxa"/>
              <w:left w:w="15" w:type="dxa"/>
              <w:right w:w="15" w:type="dxa"/>
            </w:tcMar>
            <w:vAlign w:val="center"/>
          </w:tcPr>
          <w:p w:rsidR="00641B12" w:rsidRDefault="00641B12" w:rsidP="005F5D08">
            <w:pPr>
              <w:rPr>
                <w:rFonts w:cs="宋体" w:hint="default"/>
                <w:color w:val="000000"/>
                <w:sz w:val="22"/>
                <w:szCs w:val="22"/>
              </w:rPr>
            </w:pPr>
          </w:p>
        </w:tc>
        <w:tc>
          <w:tcPr>
            <w:tcW w:w="3325" w:type="dxa"/>
            <w:tcBorders>
              <w:top w:val="single" w:sz="4" w:space="0" w:color="000000"/>
              <w:left w:val="single" w:sz="4" w:space="0" w:color="auto"/>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jc w:val="right"/>
              <w:rPr>
                <w:rFonts w:ascii="Arial" w:hAnsi="Arial" w:cs="Arial" w:hint="default"/>
                <w:color w:val="000000"/>
                <w:sz w:val="20"/>
                <w:szCs w:val="20"/>
              </w:rPr>
            </w:pPr>
          </w:p>
        </w:tc>
      </w:tr>
      <w:tr w:rsidR="00641B12" w:rsidTr="005F5D08">
        <w:trPr>
          <w:trHeight w:val="308"/>
        </w:trPr>
        <w:tc>
          <w:tcPr>
            <w:tcW w:w="5159" w:type="dxa"/>
            <w:tcBorders>
              <w:top w:val="single" w:sz="4" w:space="0" w:color="auto"/>
              <w:left w:val="single" w:sz="4" w:space="0" w:color="auto"/>
              <w:bottom w:val="single" w:sz="4" w:space="0" w:color="auto"/>
              <w:right w:val="nil"/>
            </w:tcBorders>
            <w:shd w:val="clear" w:color="FFFFFF" w:fill="C0C0C0"/>
            <w:noWrap/>
            <w:tcMar>
              <w:top w:w="15" w:type="dxa"/>
              <w:left w:w="15" w:type="dxa"/>
              <w:right w:w="15" w:type="dxa"/>
            </w:tcMar>
            <w:vAlign w:val="center"/>
          </w:tcPr>
          <w:p w:rsidR="00641B12" w:rsidRDefault="00641B12" w:rsidP="005F5D08">
            <w:pPr>
              <w:textAlignment w:val="center"/>
              <w:rPr>
                <w:rFonts w:cs="宋体" w:hint="default"/>
                <w:color w:val="000000"/>
                <w:sz w:val="22"/>
                <w:szCs w:val="22"/>
                <w:lang w:bidi="ar"/>
              </w:rPr>
            </w:pPr>
            <w:r>
              <w:rPr>
                <w:rFonts w:cs="宋体"/>
                <w:color w:val="000000"/>
                <w:sz w:val="22"/>
                <w:szCs w:val="22"/>
                <w:lang w:bidi="ar"/>
              </w:rPr>
              <w:t>四、差旅费</w:t>
            </w:r>
          </w:p>
        </w:tc>
        <w:tc>
          <w:tcPr>
            <w:tcW w:w="3822" w:type="dxa"/>
            <w:tcBorders>
              <w:top w:val="single" w:sz="4" w:space="0" w:color="auto"/>
              <w:left w:val="nil"/>
              <w:bottom w:val="single" w:sz="4" w:space="0" w:color="auto"/>
              <w:right w:val="single" w:sz="4" w:space="0" w:color="auto"/>
            </w:tcBorders>
            <w:shd w:val="clear" w:color="auto" w:fill="auto"/>
            <w:noWrap/>
            <w:tcMar>
              <w:top w:w="15" w:type="dxa"/>
              <w:left w:w="15" w:type="dxa"/>
              <w:right w:w="15" w:type="dxa"/>
            </w:tcMar>
            <w:vAlign w:val="center"/>
          </w:tcPr>
          <w:p w:rsidR="00641B12" w:rsidRDefault="00641B12" w:rsidP="005F5D08">
            <w:pPr>
              <w:jc w:val="center"/>
              <w:textAlignment w:val="center"/>
              <w:rPr>
                <w:rFonts w:cs="宋体" w:hint="default"/>
                <w:color w:val="000000"/>
                <w:sz w:val="22"/>
                <w:szCs w:val="22"/>
                <w:lang w:bidi="ar"/>
              </w:rPr>
            </w:pPr>
            <w:r>
              <w:rPr>
                <w:rFonts w:cs="宋体"/>
                <w:color w:val="000000"/>
                <w:sz w:val="22"/>
                <w:szCs w:val="22"/>
                <w:lang w:bidi="ar"/>
              </w:rPr>
              <w:t>—</w:t>
            </w:r>
          </w:p>
        </w:tc>
        <w:tc>
          <w:tcPr>
            <w:tcW w:w="3281" w:type="dxa"/>
            <w:tcBorders>
              <w:top w:val="single" w:sz="4" w:space="0" w:color="000000"/>
              <w:left w:val="single" w:sz="4" w:space="0" w:color="auto"/>
              <w:bottom w:val="single" w:sz="4" w:space="0" w:color="000000"/>
              <w:right w:val="single" w:sz="4" w:space="0" w:color="auto"/>
            </w:tcBorders>
            <w:shd w:val="clear" w:color="auto" w:fill="auto"/>
            <w:noWrap/>
            <w:tcMar>
              <w:top w:w="15" w:type="dxa"/>
              <w:left w:w="15" w:type="dxa"/>
              <w:right w:w="15" w:type="dxa"/>
            </w:tcMar>
            <w:vAlign w:val="bottom"/>
          </w:tcPr>
          <w:p w:rsidR="00641B12" w:rsidRDefault="00641B12" w:rsidP="005F5D08">
            <w:pPr>
              <w:wordWrap w:val="0"/>
              <w:jc w:val="right"/>
              <w:textAlignment w:val="bottom"/>
              <w:rPr>
                <w:rFonts w:cs="宋体" w:hint="default"/>
                <w:color w:val="000000"/>
                <w:sz w:val="21"/>
                <w:szCs w:val="21"/>
                <w:lang w:bidi="ar"/>
              </w:rPr>
            </w:pPr>
            <w:r>
              <w:rPr>
                <w:rFonts w:cs="宋体"/>
                <w:color w:val="000000"/>
                <w:sz w:val="21"/>
                <w:szCs w:val="21"/>
                <w:lang w:bidi="ar"/>
              </w:rPr>
              <w:t xml:space="preserve">  </w:t>
            </w:r>
          </w:p>
        </w:tc>
        <w:tc>
          <w:tcPr>
            <w:tcW w:w="6581" w:type="dxa"/>
            <w:tcBorders>
              <w:top w:val="single" w:sz="4" w:space="0" w:color="auto"/>
              <w:left w:val="single" w:sz="4" w:space="0" w:color="auto"/>
              <w:bottom w:val="single" w:sz="4" w:space="0" w:color="auto"/>
              <w:right w:val="single" w:sz="4" w:space="0" w:color="auto"/>
            </w:tcBorders>
            <w:shd w:val="clear" w:color="FFFFFF" w:fill="C0C0C0"/>
            <w:noWrap/>
            <w:tcMar>
              <w:top w:w="15" w:type="dxa"/>
              <w:left w:w="15" w:type="dxa"/>
              <w:right w:w="15" w:type="dxa"/>
            </w:tcMar>
            <w:vAlign w:val="center"/>
          </w:tcPr>
          <w:p w:rsidR="00641B12" w:rsidRDefault="00641B12" w:rsidP="005F5D08">
            <w:pPr>
              <w:rPr>
                <w:rFonts w:cs="宋体" w:hint="default"/>
                <w:color w:val="000000"/>
                <w:sz w:val="22"/>
                <w:szCs w:val="22"/>
              </w:rPr>
            </w:pPr>
          </w:p>
        </w:tc>
        <w:tc>
          <w:tcPr>
            <w:tcW w:w="3325" w:type="dxa"/>
            <w:tcBorders>
              <w:top w:val="single" w:sz="4" w:space="0" w:color="000000"/>
              <w:left w:val="single" w:sz="4" w:space="0" w:color="auto"/>
              <w:bottom w:val="single" w:sz="4" w:space="0" w:color="000000"/>
              <w:right w:val="single" w:sz="4" w:space="0" w:color="000000"/>
            </w:tcBorders>
            <w:shd w:val="clear" w:color="auto" w:fill="auto"/>
            <w:noWrap/>
            <w:tcMar>
              <w:top w:w="15" w:type="dxa"/>
              <w:left w:w="15" w:type="dxa"/>
              <w:right w:w="15" w:type="dxa"/>
            </w:tcMar>
            <w:vAlign w:val="bottom"/>
          </w:tcPr>
          <w:p w:rsidR="00641B12" w:rsidRDefault="00641B12" w:rsidP="005F5D08">
            <w:pPr>
              <w:jc w:val="right"/>
              <w:rPr>
                <w:rFonts w:ascii="Arial" w:hAnsi="Arial" w:cs="Arial" w:hint="default"/>
                <w:color w:val="000000"/>
                <w:sz w:val="20"/>
                <w:szCs w:val="20"/>
              </w:rPr>
            </w:pPr>
          </w:p>
        </w:tc>
      </w:tr>
    </w:tbl>
    <w:p w:rsidR="00D05B95" w:rsidRDefault="00641B12">
      <w:pPr>
        <w:rPr>
          <w:rFonts w:ascii="Times New Roman" w:hAnsi="Times New Roman" w:hint="default"/>
          <w:sz w:val="21"/>
          <w:szCs w:val="21"/>
        </w:rPr>
      </w:pPr>
      <w:r>
        <w:rPr>
          <w:rFonts w:cs="宋体"/>
          <w:sz w:val="21"/>
          <w:szCs w:val="21"/>
          <w:lang w:bidi="ar"/>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1"/>
          <w:szCs w:val="21"/>
          <w:lang w:bidi="ar"/>
        </w:rPr>
        <w:br/>
        <w:t xml:space="preserve">      2.本套报表金额单位转换时可能存在尾数误差。</w:t>
      </w:r>
      <w:bookmarkStart w:id="0" w:name="_GoBack"/>
      <w:bookmarkEnd w:id="0"/>
      <w:r w:rsidR="00B7689C">
        <w:rPr>
          <w:rFonts w:ascii="Times New Roman" w:hAnsi="Times New Roman" w:hint="default"/>
          <w:sz w:val="21"/>
          <w:szCs w:val="21"/>
          <w:lang w:bidi="ar"/>
        </w:rPr>
        <w:br/>
      </w:r>
      <w:r w:rsidR="00B7689C">
        <w:rPr>
          <w:rFonts w:ascii="Times New Roman" w:hAnsi="Times New Roman" w:hint="default"/>
          <w:sz w:val="21"/>
          <w:szCs w:val="21"/>
        </w:rPr>
        <w:br/>
      </w:r>
    </w:p>
    <w:p w:rsidR="00D05B95" w:rsidRDefault="00D05B95">
      <w:pPr>
        <w:rPr>
          <w:rFonts w:ascii="Times New Roman" w:hAnsi="Times New Roman" w:hint="default"/>
          <w:color w:val="000000"/>
          <w:sz w:val="21"/>
          <w:szCs w:val="21"/>
          <w:lang w:bidi="ar"/>
        </w:rPr>
      </w:pPr>
    </w:p>
    <w:p w:rsidR="00D05B95" w:rsidRDefault="00D05B95">
      <w:pPr>
        <w:rPr>
          <w:rFonts w:ascii="Times New Roman" w:hAnsi="Times New Roman" w:hint="default"/>
          <w:color w:val="000000"/>
          <w:sz w:val="21"/>
          <w:szCs w:val="21"/>
          <w:lang w:bidi="ar"/>
        </w:rPr>
      </w:pPr>
    </w:p>
    <w:p w:rsidR="00D05B95" w:rsidRDefault="00D05B95">
      <w:pPr>
        <w:rPr>
          <w:rFonts w:ascii="Times New Roman" w:hAnsi="Times New Roman" w:hint="default"/>
          <w:color w:val="000000"/>
          <w:sz w:val="21"/>
          <w:szCs w:val="21"/>
          <w:lang w:bidi="ar"/>
        </w:rPr>
      </w:pPr>
    </w:p>
    <w:p w:rsidR="00D05B95" w:rsidRDefault="00D05B95">
      <w:pPr>
        <w:rPr>
          <w:rFonts w:ascii="Times New Roman" w:hAnsi="Times New Roman" w:hint="default"/>
          <w:color w:val="000000"/>
          <w:sz w:val="21"/>
          <w:szCs w:val="21"/>
          <w:lang w:bidi="ar"/>
        </w:rPr>
      </w:pPr>
    </w:p>
    <w:p w:rsidR="00D05B95" w:rsidRDefault="00D05B95">
      <w:pPr>
        <w:rPr>
          <w:rFonts w:ascii="Times New Roman" w:hAnsi="Times New Roman" w:hint="default"/>
          <w:color w:val="000000"/>
          <w:sz w:val="21"/>
          <w:szCs w:val="21"/>
          <w:lang w:bidi="ar"/>
        </w:rPr>
      </w:pPr>
    </w:p>
    <w:p w:rsidR="00D05B95" w:rsidRDefault="00D05B95">
      <w:pPr>
        <w:rPr>
          <w:rFonts w:ascii="Times New Roman" w:hAnsi="Times New Roman" w:hint="default"/>
          <w:color w:val="000000"/>
          <w:sz w:val="21"/>
          <w:szCs w:val="21"/>
          <w:lang w:bidi="ar"/>
        </w:rPr>
      </w:pPr>
    </w:p>
    <w:p w:rsidR="00D05B95" w:rsidRDefault="00D05B95">
      <w:pPr>
        <w:rPr>
          <w:rFonts w:ascii="Times New Roman" w:hAnsi="Times New Roman" w:hint="default"/>
          <w:color w:val="000000"/>
          <w:sz w:val="21"/>
          <w:szCs w:val="21"/>
          <w:lang w:bidi="ar"/>
        </w:rPr>
      </w:pPr>
    </w:p>
    <w:p w:rsidR="00D05B95" w:rsidRDefault="00D05B95">
      <w:pPr>
        <w:rPr>
          <w:rFonts w:ascii="Times New Roman" w:hAnsi="Times New Roman" w:hint="default"/>
          <w:color w:val="000000"/>
          <w:sz w:val="21"/>
          <w:szCs w:val="21"/>
          <w:lang w:bidi="ar"/>
        </w:rPr>
      </w:pPr>
    </w:p>
    <w:p w:rsidR="00D05B95" w:rsidRDefault="00D05B95">
      <w:pPr>
        <w:rPr>
          <w:rFonts w:ascii="Times New Roman" w:hAnsi="Times New Roman" w:hint="default"/>
          <w:color w:val="000000"/>
          <w:sz w:val="21"/>
          <w:szCs w:val="21"/>
          <w:lang w:bidi="ar"/>
        </w:rPr>
      </w:pPr>
    </w:p>
    <w:p w:rsidR="00D05B95" w:rsidRDefault="00D05B95">
      <w:pPr>
        <w:pStyle w:val="1"/>
        <w:autoSpaceDE w:val="0"/>
        <w:ind w:firstLineChars="0" w:firstLine="0"/>
        <w:rPr>
          <w:rFonts w:ascii="Times New Roman" w:hAnsi="Times New Roman"/>
          <w:sz w:val="21"/>
          <w:szCs w:val="21"/>
        </w:rPr>
      </w:pPr>
    </w:p>
    <w:sectPr w:rsidR="00D05B95">
      <w:headerReference w:type="default" r:id="rId8"/>
      <w:footerReference w:type="default" r:id="rId9"/>
      <w:pgSz w:w="23811" w:h="16838" w:orient="landscape"/>
      <w:pgMar w:top="567" w:right="454" w:bottom="567" w:left="1037" w:header="0" w:footer="283"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689C" w:rsidRDefault="00B7689C">
      <w:pPr>
        <w:rPr>
          <w:rFonts w:hint="default"/>
        </w:rPr>
      </w:pPr>
      <w:r>
        <w:separator/>
      </w:r>
    </w:p>
  </w:endnote>
  <w:endnote w:type="continuationSeparator" w:id="0">
    <w:p w:rsidR="00B7689C" w:rsidRDefault="00B7689C">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5B95" w:rsidRDefault="00B7689C">
    <w:pPr>
      <w:pStyle w:val="a5"/>
      <w:rPr>
        <w:rFonts w:hint="default"/>
      </w:rP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05B95" w:rsidRDefault="00B7689C">
                          <w:pPr>
                            <w:pStyle w:val="a5"/>
                            <w:rPr>
                              <w:rFonts w:hint="default"/>
                            </w:rPr>
                          </w:pPr>
                          <w:r>
                            <w:fldChar w:fldCharType="begin"/>
                          </w:r>
                          <w:r>
                            <w:instrText xml:space="preserve"> PAGE  \* MERGEFORMAT </w:instrText>
                          </w:r>
                          <w:r>
                            <w:fldChar w:fldCharType="separate"/>
                          </w:r>
                          <w:r w:rsidR="00641B12">
                            <w:rPr>
                              <w:rFonts w:hint="default"/>
                              <w:noProof/>
                            </w:rPr>
                            <w:t>- 7 -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D05B95" w:rsidRDefault="00B7689C">
                    <w:pPr>
                      <w:pStyle w:val="a5"/>
                      <w:rPr>
                        <w:rFonts w:hint="default"/>
                      </w:rPr>
                    </w:pPr>
                    <w:r>
                      <w:fldChar w:fldCharType="begin"/>
                    </w:r>
                    <w:r>
                      <w:instrText xml:space="preserve"> PAGE  \* MERGEFORMAT </w:instrText>
                    </w:r>
                    <w:r>
                      <w:fldChar w:fldCharType="separate"/>
                    </w:r>
                    <w:r w:rsidR="00641B12">
                      <w:rPr>
                        <w:rFonts w:hint="default"/>
                        <w:noProof/>
                      </w:rPr>
                      <w:t>- 7 -</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5B95" w:rsidRDefault="00B7689C">
    <w:pPr>
      <w:pStyle w:val="a5"/>
      <w:jc w:val="both"/>
      <w:rPr>
        <w:rFonts w:hint="default"/>
      </w:rPr>
    </w:pPr>
    <w:r>
      <w:rPr>
        <w:noProof/>
      </w:rP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D05B95" w:rsidRDefault="00B7689C">
                          <w:pPr>
                            <w:pStyle w:val="a5"/>
                            <w:rPr>
                              <w:rFonts w:hint="default"/>
                            </w:rPr>
                          </w:pPr>
                          <w:r>
                            <w:t xml:space="preserve"> </w:t>
                          </w:r>
                          <w:r>
                            <w:fldChar w:fldCharType="begin"/>
                          </w:r>
                          <w:r>
                            <w:instrText>PAGE   \* MERGEFORMAT</w:instrText>
                          </w:r>
                          <w:r>
                            <w:fldChar w:fldCharType="separate"/>
                          </w:r>
                          <w:r w:rsidR="00641B12" w:rsidRPr="00641B12">
                            <w:rPr>
                              <w:rFonts w:hint="default"/>
                              <w:noProof/>
                              <w:lang w:val="zh-CN"/>
                            </w:rPr>
                            <w:t>-</w:t>
                          </w:r>
                          <w:r w:rsidR="00641B12">
                            <w:rPr>
                              <w:rFonts w:hint="default"/>
                              <w:noProof/>
                            </w:rPr>
                            <w:t xml:space="preserve"> 15 -</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7"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Nj+/MwfAgAAIAQAAA4AAAAAAAAAAAAAAAAALgIAAGRycy9lMm9Eb2MueG1sUEsBAi0AFAAG&#10;AAgAAAAhAHGq0bnXAAAABQEAAA8AAAAAAAAAAAAAAAAAeQQAAGRycy9kb3ducmV2LnhtbFBLBQYA&#10;AAAABAAEAPMAAAB9BQAAAAA=&#10;" o:allowoverlap="f" filled="f" stroked="f" strokeweight=".5pt">
              <v:textbox style="mso-fit-shape-to-text:t" inset="0,0,0,0">
                <w:txbxContent>
                  <w:p w:rsidR="00D05B95" w:rsidRDefault="00B7689C">
                    <w:pPr>
                      <w:pStyle w:val="a5"/>
                      <w:rPr>
                        <w:rFonts w:hint="default"/>
                      </w:rPr>
                    </w:pPr>
                    <w:r>
                      <w:t xml:space="preserve"> </w:t>
                    </w:r>
                    <w:r>
                      <w:fldChar w:fldCharType="begin"/>
                    </w:r>
                    <w:r>
                      <w:instrText>PAGE   \* MERGEFORMAT</w:instrText>
                    </w:r>
                    <w:r>
                      <w:fldChar w:fldCharType="separate"/>
                    </w:r>
                    <w:r w:rsidR="00641B12" w:rsidRPr="00641B12">
                      <w:rPr>
                        <w:rFonts w:hint="default"/>
                        <w:noProof/>
                        <w:lang w:val="zh-CN"/>
                      </w:rPr>
                      <w:t>-</w:t>
                    </w:r>
                    <w:r w:rsidR="00641B12">
                      <w:rPr>
                        <w:rFonts w:hint="default"/>
                        <w:noProof/>
                      </w:rPr>
                      <w:t xml:space="preserve"> 15 -</w:t>
                    </w:r>
                    <w:r>
                      <w:fldChar w:fldCharType="end"/>
                    </w:r>
                    <w:r>
                      <w:t xml:space="preserve"> </w:t>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220980"/>
                      </a:xfrm>
                      <a:prstGeom prst="rect">
                        <a:avLst/>
                      </a:prstGeom>
                      <a:noFill/>
                      <a:ln w="6350">
                        <a:noFill/>
                      </a:ln>
                      <a:effectLst/>
                    </wps:spPr>
                    <wps:txbx>
                      <w:txbxContent>
                        <w:p w:rsidR="00D05B95" w:rsidRDefault="00B7689C">
                          <w:pPr>
                            <w:pStyle w:val="a5"/>
                            <w:jc w:val="both"/>
                            <w:rPr>
                              <w:rFonts w:cs="宋体" w:hint="default"/>
                            </w:rPr>
                          </w:pPr>
                          <w:r>
                            <w:rPr>
                              <w:rFonts w:cs="宋体"/>
                            </w:rPr>
                            <w:t>—</w:t>
                          </w:r>
                          <w:r>
                            <w:rPr>
                              <w:rFonts w:cs="宋体"/>
                            </w:rPr>
                            <w:t xml:space="preserve"> 27.1 </w:t>
                          </w:r>
                          <w:r>
                            <w:rPr>
                              <w:rFonts w:cs="宋体"/>
                            </w:rPr>
                            <w:t>—</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文本框 126" o:spid="_x0000_s1028" type="#_x0000_t202" style="position:absolute;left:0;text-align:left;margin-left:0;margin-top:1160.4pt;width:2in;height:17.4pt;z-index:251659264;visibility:visible;mso-wrap-style:none;mso-wrap-distance-left:9pt;mso-wrap-distance-top:0;mso-wrap-distance-right:9pt;mso-wrap-distance-bottom:0;mso-position-horizontal:center;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" o:allowoverlap="f" filled="f" stroked="f" strokeweight=".5pt">
              <v:textbox inset="0,0,0,0">
                <w:txbxContent>
                  <w:p w:rsidR="00D05B95" w:rsidRDefault="00B7689C">
                    <w:pPr>
                      <w:pStyle w:val="a5"/>
                      <w:jc w:val="both"/>
                      <w:rPr>
                        <w:rFonts w:cs="宋体" w:hint="default"/>
                      </w:rPr>
                    </w:pPr>
                    <w:r>
                      <w:rPr>
                        <w:rFonts w:cs="宋体"/>
                      </w:rPr>
                      <w:t>—</w:t>
                    </w:r>
                    <w:r>
                      <w:rPr>
                        <w:rFonts w:cs="宋体"/>
                      </w:rPr>
                      <w:t xml:space="preserve"> 27.1 </w:t>
                    </w:r>
                    <w:r>
                      <w:rPr>
                        <w:rFonts w:cs="宋体"/>
                      </w:rPr>
                      <w:t>—</w:t>
                    </w:r>
                  </w:p>
                </w:txbxContent>
              </v:textbox>
              <w10:wrap anchorx="margin"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689C" w:rsidRDefault="00B7689C">
      <w:pPr>
        <w:rPr>
          <w:rFonts w:hint="default"/>
        </w:rPr>
      </w:pPr>
      <w:r>
        <w:separator/>
      </w:r>
    </w:p>
  </w:footnote>
  <w:footnote w:type="continuationSeparator" w:id="0">
    <w:p w:rsidR="00B7689C" w:rsidRDefault="00B7689C">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5B95" w:rsidRDefault="00D05B95">
    <w:pPr>
      <w:pStyle w:val="a6"/>
      <w:tabs>
        <w:tab w:val="clear" w:pos="4153"/>
        <w:tab w:val="clear" w:pos="8306"/>
        <w:tab w:val="left" w:pos="1758"/>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bordersDoNotSurroundHeader/>
  <w:bordersDoNotSurroundFooter/>
  <w:defaultTabStop w:val="420"/>
  <w:drawingGridHorizontalSpacing w:val="120"/>
  <w:drawingGridVerticalSpacing w:val="163"/>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wYWQ1YTE0ZDA0NjgxYzlhMjZlMDExNTFmMWI3MmEifQ=="/>
  </w:docVars>
  <w:rsids>
    <w:rsidRoot w:val="00B03CCD"/>
    <w:rsid w:val="CE3FD2E1"/>
    <w:rsid w:val="000C3735"/>
    <w:rsid w:val="00104282"/>
    <w:rsid w:val="00194263"/>
    <w:rsid w:val="00256DBB"/>
    <w:rsid w:val="002B2AF5"/>
    <w:rsid w:val="002F43FF"/>
    <w:rsid w:val="004756E2"/>
    <w:rsid w:val="00550ABE"/>
    <w:rsid w:val="00641B12"/>
    <w:rsid w:val="007B419D"/>
    <w:rsid w:val="008D2C72"/>
    <w:rsid w:val="009B67B8"/>
    <w:rsid w:val="009C2056"/>
    <w:rsid w:val="00A52D9B"/>
    <w:rsid w:val="00AD1850"/>
    <w:rsid w:val="00B03CCD"/>
    <w:rsid w:val="00B7689C"/>
    <w:rsid w:val="00C93CBF"/>
    <w:rsid w:val="00CD6A46"/>
    <w:rsid w:val="00D05B95"/>
    <w:rsid w:val="00F73F90"/>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B23302"/>
    <w:rsid w:val="29310A5F"/>
    <w:rsid w:val="29C37A35"/>
    <w:rsid w:val="2A076083"/>
    <w:rsid w:val="2A73162E"/>
    <w:rsid w:val="2B167953"/>
    <w:rsid w:val="2B200583"/>
    <w:rsid w:val="2B8209DE"/>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B1705E5"/>
    <w:rsid w:val="3B18334B"/>
    <w:rsid w:val="3B36794F"/>
    <w:rsid w:val="3C566AD6"/>
    <w:rsid w:val="3C6A5B02"/>
    <w:rsid w:val="3D2757A1"/>
    <w:rsid w:val="3D3D4FC4"/>
    <w:rsid w:val="3DDF3AB1"/>
    <w:rsid w:val="3E1D0952"/>
    <w:rsid w:val="3E42660A"/>
    <w:rsid w:val="3E7555B1"/>
    <w:rsid w:val="3E787ED9"/>
    <w:rsid w:val="3F032E93"/>
    <w:rsid w:val="3F0527E5"/>
    <w:rsid w:val="3F694D83"/>
    <w:rsid w:val="3F885DCC"/>
    <w:rsid w:val="3FCD675E"/>
    <w:rsid w:val="4004000C"/>
    <w:rsid w:val="411B6CE5"/>
    <w:rsid w:val="412070D7"/>
    <w:rsid w:val="41314E40"/>
    <w:rsid w:val="41E0734B"/>
    <w:rsid w:val="426C1EA8"/>
    <w:rsid w:val="42736402"/>
    <w:rsid w:val="42E86A87"/>
    <w:rsid w:val="43307B09"/>
    <w:rsid w:val="438C4686"/>
    <w:rsid w:val="439A3EB9"/>
    <w:rsid w:val="43BB152F"/>
    <w:rsid w:val="44C37687"/>
    <w:rsid w:val="45CB699A"/>
    <w:rsid w:val="465B470D"/>
    <w:rsid w:val="469D6AD4"/>
    <w:rsid w:val="471E6C84"/>
    <w:rsid w:val="4748792B"/>
    <w:rsid w:val="475D719D"/>
    <w:rsid w:val="47674801"/>
    <w:rsid w:val="48225EF7"/>
    <w:rsid w:val="488F422B"/>
    <w:rsid w:val="48E36915"/>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E973B2A"/>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AD2300"/>
    <w:rsid w:val="6B474EF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7DD7B97"/>
    <w:rsid w:val="781926BC"/>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1931910-4572-4225-87AD-0631D3F6A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99"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rPr>
      <w:rFonts w:ascii="宋体" w:hAnsi="宋体" w:hint="eastAsia"/>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qFormat/>
    <w:pPr>
      <w:tabs>
        <w:tab w:val="center" w:pos="4153"/>
        <w:tab w:val="right" w:pos="8306"/>
      </w:tabs>
      <w:snapToGrid w:val="0"/>
    </w:pPr>
    <w:rPr>
      <w:sz w:val="18"/>
      <w:szCs w:val="18"/>
    </w:rPr>
  </w:style>
  <w:style w:type="paragraph" w:styleId="a6">
    <w:name w:val="header"/>
    <w:basedOn w:val="a"/>
    <w:qFormat/>
    <w:pPr>
      <w:tabs>
        <w:tab w:val="center" w:pos="4153"/>
        <w:tab w:val="right" w:pos="8306"/>
      </w:tabs>
      <w:snapToGrid w:val="0"/>
      <w:jc w:val="center"/>
    </w:pPr>
    <w:rPr>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a7">
    <w:name w:val="Normal (Web)"/>
    <w:basedOn w:val="a"/>
    <w:unhideWhenUsed/>
    <w:qFormat/>
    <w:pPr>
      <w:spacing w:before="100" w:beforeAutospacing="1" w:after="100" w:afterAutospacing="1"/>
    </w:pPr>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qFormat/>
    <w:rPr>
      <w:b/>
    </w:rPr>
  </w:style>
  <w:style w:type="paragraph" w:customStyle="1" w:styleId="1">
    <w:name w:val="列出段落1"/>
    <w:basedOn w:val="a"/>
    <w:uiPriority w:val="99"/>
    <w:qFormat/>
    <w:pPr>
      <w:ind w:firstLineChars="200" w:firstLine="420"/>
    </w:pPr>
    <w:rPr>
      <w:rFonts w:hint="default"/>
    </w:rPr>
  </w:style>
  <w:style w:type="paragraph" w:customStyle="1" w:styleId="Char">
    <w:name w:val="普通(网站) Char"/>
    <w:qFormat/>
    <w:pPr>
      <w:spacing w:before="100" w:beforeAutospacing="1" w:after="100" w:afterAutospacing="1"/>
    </w:pPr>
    <w:rPr>
      <w:rFonts w:ascii="宋体" w:hAnsi="宋体"/>
      <w:sz w:val="24"/>
      <w:szCs w:val="24"/>
    </w:rPr>
  </w:style>
  <w:style w:type="character" w:customStyle="1" w:styleId="21">
    <w:name w:val="21"/>
    <w:qFormat/>
    <w:rPr>
      <w:rFonts w:ascii="Wingdings" w:hAnsi="Wingdings" w:cs="Wingdings" w:hint="default"/>
      <w:b/>
      <w:bCs/>
    </w:rPr>
  </w:style>
  <w:style w:type="paragraph" w:customStyle="1" w:styleId="2">
    <w:name w:val="列出段落2"/>
    <w:uiPriority w:val="99"/>
    <w:qFormat/>
    <w:pPr>
      <w:ind w:firstLineChars="200" w:firstLine="420"/>
    </w:pPr>
    <w:rPr>
      <w:rFonts w:ascii="宋体" w:hAnsi="宋体"/>
      <w:sz w:val="24"/>
      <w:szCs w:val="24"/>
    </w:rPr>
  </w:style>
  <w:style w:type="paragraph" w:styleId="aa">
    <w:name w:val="List Paragraph"/>
    <w:basedOn w:val="a"/>
    <w:uiPriority w:val="99"/>
    <w:qFormat/>
    <w:pPr>
      <w:ind w:firstLineChars="200" w:firstLine="420"/>
    </w:pPr>
  </w:style>
  <w:style w:type="character" w:customStyle="1" w:styleId="a4">
    <w:name w:val="批注框文本 字符"/>
    <w:basedOn w:val="a0"/>
    <w:link w:val="a3"/>
    <w:qFormat/>
    <w:rPr>
      <w:rFonts w:ascii="宋体" w:hAnsi="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1685</Words>
  <Characters>9606</Characters>
  <Application>Microsoft Office Word</Application>
  <DocSecurity>0</DocSecurity>
  <Lines>80</Lines>
  <Paragraphs>22</Paragraphs>
  <ScaleCrop>false</ScaleCrop>
  <Company>微软中国</Company>
  <LinksUpToDate>false</LinksUpToDate>
  <CharactersWithSpaces>11269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傅春丽</cp:lastModifiedBy>
  <cp:revision>10</cp:revision>
  <cp:lastPrinted>2025-08-19T14:42:00Z</cp:lastPrinted>
  <dcterms:created xsi:type="dcterms:W3CDTF">2024-07-11T10:00:00Z</dcterms:created>
  <dcterms:modified xsi:type="dcterms:W3CDTF">2025-09-02T06:14:00Z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BB46EABDBB2749749395447164B066B3_12</vt:lpwstr>
  </property>
</Properties>
</file>