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_GBK" w:eastAsia="方正小标宋_GBK"/>
          <w:sz w:val="44"/>
          <w:szCs w:val="42"/>
        </w:rPr>
      </w:pPr>
    </w:p>
    <w:p>
      <w:pPr>
        <w:spacing w:line="560" w:lineRule="exact"/>
        <w:rPr>
          <w:rFonts w:hint="eastAsia" w:ascii="方正小标宋_GBK" w:eastAsia="方正小标宋_GBK"/>
          <w:sz w:val="44"/>
          <w:szCs w:val="42"/>
        </w:rPr>
      </w:pPr>
      <w:r>
        <w:pict>
          <v:shape id="艺术字 2" o:spid="_x0000_s1031" o:spt="136" type="#_x0000_t136" style="position:absolute;left:0pt;margin-left:79.4pt;margin-top:101.4pt;height:52.45pt;width:437.4pt;mso-position-horizontal-relative:page;mso-position-vertical-relative:margin;z-index:251665408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 aspectratio="f"/>
            <v:textpath on="t" fitshape="t" fitpath="t" trim="t" xscale="f" string="重庆市黔江区卫生健康综合行政执法支队" style="font-family:方正小标宋_GBK;font-size:36pt;v-text-align:center;"/>
          </v:shape>
        </w:pic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2"/>
        </w:rPr>
      </w:pP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2"/>
        </w:rPr>
      </w:pPr>
    </w:p>
    <w:p>
      <w:pPr>
        <w:spacing w:line="560" w:lineRule="exact"/>
        <w:jc w:val="center"/>
        <w:rPr>
          <w:rFonts w:hint="eastAsia"/>
          <w:sz w:val="32"/>
          <w:szCs w:val="32"/>
        </w:rPr>
      </w:pPr>
    </w:p>
    <w:p>
      <w:pPr>
        <w:spacing w:line="560" w:lineRule="exact"/>
        <w:ind w:firstLine="320" w:firstLineChars="100"/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320" w:firstLineChars="100"/>
        <w:jc w:val="center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20" w:firstLineChars="200"/>
        <w:jc w:val="center"/>
        <w:textAlignment w:val="auto"/>
        <w:rPr>
          <w:rFonts w:hint="eastAsia" w:ascii="Times New Roman" w:hAnsi="Times New Roman" w:eastAsia="方正仿宋_GBK" w:cs="方正仿宋_GBK"/>
          <w:spacing w:val="-5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-5"/>
          <w:sz w:val="32"/>
          <w:szCs w:val="32"/>
        </w:rPr>
        <w:t>黔江卫健执法文〔202</w:t>
      </w:r>
      <w:r>
        <w:rPr>
          <w:rFonts w:hint="eastAsia" w:ascii="Times New Roman" w:hAnsi="Times New Roman" w:eastAsia="方正仿宋_GBK" w:cs="方正仿宋_GBK"/>
          <w:spacing w:val="-5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spacing w:val="-5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spacing w:val="-5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spacing w:val="-5"/>
          <w:sz w:val="32"/>
          <w:szCs w:val="32"/>
        </w:rPr>
        <w:t>号</w:t>
      </w:r>
    </w:p>
    <w:p>
      <w:pPr>
        <w:spacing w:line="56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3268980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4pt;margin-top:257.4pt;height:0pt;width:442.2pt;mso-position-horizontal-relative:page;mso-position-vertical-relative:margin;z-index:251666432;mso-width-relative:page;mso-height-relative:page;" filled="f" stroked="t" coordsize="21600,21600" o:gfxdata="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zjRl3ZAAAADAEAAA8AAAAAAAAAAQAgAAAAIgAAAGRycy9kb3ducmV2&#10;LnhtbFBLAQIUABQAAAAIAIdO4kAOmeLy+wEAAPMDAAAOAAAAAAAAAAEAIAAAACgBAABkcnMvZTJv&#10;RG9jLnhtbFBLBQYAAAAABgAGAFkBAACV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重庆市黔江区卫生健康综合行政执法支队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关于</w:t>
      </w:r>
      <w:r>
        <w:rPr>
          <w:rFonts w:hint="eastAsia" w:ascii="Times New Roman" w:hAnsi="Times New Roman" w:eastAsia="方正小标宋_GBK"/>
          <w:bCs/>
          <w:sz w:val="44"/>
          <w:szCs w:val="44"/>
        </w:rPr>
        <w:t>切实加强冬春季学校疫情防控专项监督检查的通知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各乡镇卫生院、街道社区卫生服务中心：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为做好冬春季疫情防控工作，按照全国卫生健康系统新冠肺炎疫情防控工作电视电话会议要求,经委领导同意，决定开展冬春季重点场所疫情防控专项监督检查。现就具体事项通知如下:</w:t>
      </w:r>
    </w:p>
    <w:p>
      <w:pPr>
        <w:keepNext w:val="0"/>
        <w:keepLines w:val="0"/>
        <w:pageBreakBefore w:val="0"/>
        <w:widowControl w:val="0"/>
        <w:tabs>
          <w:tab w:val="left" w:pos="12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  <w:t>一、专项监督检查时间</w:t>
      </w:r>
    </w:p>
    <w:p>
      <w:pPr>
        <w:keepNext w:val="0"/>
        <w:keepLines w:val="0"/>
        <w:pageBreakBefore w:val="0"/>
        <w:widowControl w:val="0"/>
        <w:tabs>
          <w:tab w:val="left" w:pos="12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2020年12月—2021年2月。</w:t>
      </w:r>
    </w:p>
    <w:p>
      <w:pPr>
        <w:keepNext w:val="0"/>
        <w:keepLines w:val="0"/>
        <w:pageBreakBefore w:val="0"/>
        <w:widowControl w:val="0"/>
        <w:tabs>
          <w:tab w:val="left" w:pos="12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  <w:t>二、专项监督检查对象及检查依据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全区学校和托幼机构。各乡镇卫生院、街道社区卫生服务中心要按照《中华人民共和国传染病防治法》《学校卫生工作条例》《托儿所幼儿园卫生保健管理办法》等法律法规，以及重庆市卫生健康委员会办公室《关于开展冬春季重点场所疫情防控专项监督检查的通知》要求，认真开展学校疫情防控卫生监督检查。</w:t>
      </w:r>
    </w:p>
    <w:p>
      <w:pPr>
        <w:keepNext w:val="0"/>
        <w:keepLines w:val="0"/>
        <w:pageBreakBefore w:val="0"/>
        <w:widowControl w:val="0"/>
        <w:tabs>
          <w:tab w:val="left" w:pos="12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  <w:t>三、专项监督检查内容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（一）检查学校物资储备情况。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学校应提前做好消毒剂、口罩、手套等防疫物资储备。学校内设立（临时）隔离室情况，以备人员出现发热等症状时立即进行暂时隔离。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（二）检查学校环境场所消毒情况。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检查校园开展全面的环境卫生整治，包括教室、食堂、宿舍、图书馆等所有场所进行彻底的卫生清洁消毒及通风换气情况，对校园内使用的空调系统和公共区域物体表面进行预防性消毒处理。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（三）检查学校教室及宿舍卫生管理情况。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教室内通风换气，卫生清洁，垃圾清理等。公共区域高频接触物体表面，如门把手、课桌椅、讲台、楼梯扶手、电梯按钮等，每日清洁消毒。如使用空调，应当保证空调系统供风安全。学生宿舍应安排专人负责宿舍的卫生管理和检查。宿舍通风、清洁卫生，洗手设施运行良好。做好垃圾清理和日常公共区域消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（四）应急预案及应急演练。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学校提前熟悉掌握当地医疗服务预案，根据本地区疫情防控形势和学生来源特点，制定具体防控方案和应急预案，细化各项防控措施。校医院、医务室等应当充分发挥联系疾控机构、医疗机构的纽带作用。学校开学前与属地社区、公安部门、医疗机构和疾控机构等做好对接，开展防控应急演练。</w:t>
      </w:r>
    </w:p>
    <w:p>
      <w:pPr>
        <w:keepNext w:val="0"/>
        <w:keepLines w:val="0"/>
        <w:pageBreakBefore w:val="0"/>
        <w:widowControl w:val="0"/>
        <w:tabs>
          <w:tab w:val="left" w:pos="12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pacing w:val="0"/>
          <w:sz w:val="32"/>
          <w:szCs w:val="32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（一）高度重视，加强组织领导。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各乡镇卫生院、街道社区卫生服务中心要坚持以人民健康为中心的发展思想，树立以对人民、对国家极端负责的精神，慎终如始、再接再厉，毫不放松抓好冬春季疫情防控工作，坚决防止疫情反弹，切实维护人民群众生命安全和身体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（二）加强指导，督促整改落实到位。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各乡镇卫生院、街道社区卫生服务中心要加强对学校及托幼机构的监督检查，督促各个学校及托幼机构落实主体责任，对检查过程中发现的问题，要提出整改意见，并责令限期改正，确保落实到位。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pacing w:val="0"/>
          <w:sz w:val="32"/>
          <w:szCs w:val="32"/>
        </w:rPr>
        <w:t>（三）及时总结，做好信息报送。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各乡镇卫生院、街道社区卫生服务中心要结合属地防控责任，统筹推进专项监督检查，将监督检查中发现的问题及时报送相关部门，发挥联防联控的作用，并于2021年1月20日前将专项监督检查工作总结及监督检查表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的电子版及纸质件报区卫生健康综合行政执法支队（见附件）。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联系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人：黄艳秋，联系电话：79310368，电子邮箱：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fldChar w:fldCharType="begin"/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instrText xml:space="preserve"> HYPERLINK "mailto:1069333600@qq.com。" </w:instrTex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fldChar w:fldCharType="separate"/>
      </w:r>
      <w:r>
        <w:rPr>
          <w:rStyle w:val="7"/>
          <w:rFonts w:hint="eastAsia" w:ascii="Times New Roman" w:hAnsi="Times New Roman" w:eastAsia="方正仿宋_GBK" w:cs="方正仿宋_GBK"/>
          <w:spacing w:val="0"/>
          <w:sz w:val="32"/>
          <w:szCs w:val="32"/>
        </w:rPr>
        <w:t>1069333600@qq.com。</w:t>
      </w: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fldChar w:fldCharType="end"/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附件：黔江区冬春季学校和托幼机构疫情防控专项监督检查情况表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重庆市黔江区卫生健康综合行政执法支队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firstLine="640" w:firstLineChars="200"/>
        <w:jc w:val="center"/>
        <w:textAlignment w:val="auto"/>
        <w:rPr>
          <w:rFonts w:ascii="Times New Roman" w:hAnsi="Times New Roman" w:eastAsia="方正仿宋_GBK" w:cs="方正仿宋_GBK"/>
          <w:spacing w:val="0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方正仿宋_GBK"/>
          <w:spacing w:val="0"/>
          <w:sz w:val="32"/>
          <w:szCs w:val="32"/>
        </w:rPr>
        <w:t>2021年1月5日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210" w:firstLineChars="100"/>
        <w:textAlignment w:val="auto"/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45720</wp:posOffset>
                </wp:positionV>
                <wp:extent cx="5687695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5pt;margin-top:3.6pt;height:0pt;width:447.85pt;z-index:251671552;mso-width-relative:page;mso-height-relative:page;" filled="f" stroked="t" coordsize="21600,21600" o:gfxdata="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mwkg9MAAAAGAQAADwAAAAAAAAABACAAAAAiAAAAZHJzL2Rvd25yZXYueG1sUEsBAhQA&#10;FAAAAAgAh07iQFSBfPv3AQAA5QMAAA4AAAAAAAAAAQAgAAAAIgEAAGRycy9lMm9Eb2MueG1sUEsF&#10;BgAAAAAGAAYAWQEAAIs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361950</wp:posOffset>
                </wp:positionV>
                <wp:extent cx="568769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5pt;margin-top:28.5pt;height:0pt;width:447.85pt;z-index:251672576;mso-width-relative:page;mso-height-relative:page;" filled="f" stroked="t" coordsize="21600,21600" o:gfxdata="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gn6kS2AAAAAgBAAAPAAAAAAAAAAEAIAAAACIAAABkcnMvZG93bnJldi54bWxQ&#10;SwECFAAUAAAACACHTuJA/0wbRPcBAADlAwAADgAAAAAAAAABACAAAAAnAQAAZHJzL2Uyb0RvYy54&#10;bWxQSwUGAAAAAAYABgBZAQAAk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eastAsia="方正仿宋_GBK"/>
          <w:sz w:val="28"/>
          <w:szCs w:val="28"/>
        </w:rPr>
        <w:t>重庆市黔江</w:t>
      </w:r>
      <w:r>
        <w:rPr>
          <w:rFonts w:hint="eastAsia" w:ascii="方正仿宋_GBK" w:eastAsia="方正仿宋_GBK"/>
          <w:sz w:val="28"/>
          <w:szCs w:val="28"/>
          <w:lang w:eastAsia="zh-CN"/>
        </w:rPr>
        <w:t>区卫生健康综合行政执法支队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</w:t>
      </w:r>
      <w:r>
        <w:rPr>
          <w:rFonts w:ascii="方正仿宋_GBK" w:eastAsia="方正仿宋_GBK"/>
          <w:sz w:val="28"/>
          <w:szCs w:val="28"/>
        </w:rPr>
        <w:t xml:space="preserve">       20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21</w:t>
      </w:r>
      <w:r>
        <w:rPr>
          <w:rFonts w:hint="eastAsia" w:ascii="方正仿宋_GBK" w:eastAsia="方正仿宋_GBK"/>
          <w:sz w:val="28"/>
          <w:szCs w:val="28"/>
        </w:rPr>
        <w:t>年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1</w:t>
      </w:r>
      <w:r>
        <w:rPr>
          <w:rFonts w:hint="eastAsia" w:ascii="方正仿宋_GBK" w:eastAsia="方正仿宋_GBK"/>
          <w:sz w:val="28"/>
          <w:szCs w:val="28"/>
        </w:rPr>
        <w:t>月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6</w:t>
      </w:r>
      <w:r>
        <w:rPr>
          <w:rFonts w:hint="eastAsia" w:ascii="方正仿宋_GBK" w:eastAsia="方正仿宋_GBK"/>
          <w:sz w:val="28"/>
          <w:szCs w:val="28"/>
        </w:rPr>
        <w:t>日印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600"/>
        <w:textAlignment w:val="auto"/>
        <w:rPr>
          <w:rFonts w:ascii="Times New Roman" w:hAnsi="Times New Roman" w:eastAsia="方正仿宋_GBK" w:cs="方正仿宋_GBK"/>
          <w:sz w:val="28"/>
          <w:szCs w:val="28"/>
          <w:u w:val="single"/>
        </w:rPr>
        <w:sectPr>
          <w:headerReference r:id="rId3" w:type="default"/>
          <w:footerReference r:id="rId4" w:type="default"/>
          <w:pgSz w:w="11906" w:h="16838"/>
          <w:pgMar w:top="2098" w:right="1474" w:bottom="1984" w:left="1588" w:header="851" w:footer="992" w:gutter="0"/>
          <w:cols w:space="0" w:num="1"/>
          <w:docGrid w:type="lines" w:linePitch="312" w:charSpace="0"/>
        </w:sectPr>
      </w:pPr>
    </w:p>
    <w:tbl>
      <w:tblPr>
        <w:tblStyle w:val="4"/>
        <w:tblW w:w="149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5502"/>
        <w:gridCol w:w="4563"/>
        <w:gridCol w:w="1559"/>
        <w:gridCol w:w="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494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bCs/>
                <w:sz w:val="36"/>
                <w:szCs w:val="36"/>
              </w:rPr>
            </w:pPr>
            <w:r>
              <w:rPr>
                <w:rFonts w:hint="eastAsia" w:ascii="Times New Roman" w:hAnsi="Times New Roman" w:cs="宋体"/>
                <w:b/>
                <w:bCs/>
                <w:sz w:val="36"/>
                <w:szCs w:val="36"/>
              </w:rPr>
              <w:t>黔江区冬春季学校和托幼机构疫情防控专项监督检查情况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被检查单位：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b/>
                <w:sz w:val="22"/>
                <w:szCs w:val="22"/>
              </w:rPr>
              <w:t>检查项目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b/>
                <w:sz w:val="22"/>
                <w:szCs w:val="22"/>
              </w:rPr>
              <w:t>具体内容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b/>
                <w:sz w:val="22"/>
                <w:szCs w:val="22"/>
              </w:rPr>
              <w:t>开展情况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b/>
                <w:sz w:val="22"/>
                <w:szCs w:val="22"/>
              </w:rPr>
              <w:t>检查日期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b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学校物资储备情况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消毒剂、口罩、手套等防疫物资储备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学校内设立（临时）隔离室情况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学校环境场所消毒情况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教室（通风换气、卫生清洁、垃圾清理）</w:t>
            </w:r>
            <w:r>
              <w:rPr>
                <w:rFonts w:ascii="Times New Roman" w:hAnsi="Times New Roman" w:cs="宋体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cs="宋体"/>
                <w:sz w:val="22"/>
                <w:szCs w:val="22"/>
              </w:rPr>
              <w:t>（每日清洁消毒：课桌椅、讲台、</w:t>
            </w:r>
            <w:r>
              <w:rPr>
                <w:rFonts w:ascii="Times New Roman" w:hAnsi="Times New Roman" w:cs="宋体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cs="宋体"/>
                <w:sz w:val="22"/>
                <w:szCs w:val="22"/>
              </w:rPr>
              <w:t>楼梯扶手、电梯按钮）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宿舍（安排专人负责宿舍的卫生管理和检查、</w:t>
            </w:r>
            <w:r>
              <w:rPr>
                <w:rFonts w:ascii="Times New Roman" w:hAnsi="Times New Roman" w:cs="宋体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cs="宋体"/>
                <w:sz w:val="22"/>
                <w:szCs w:val="22"/>
              </w:rPr>
              <w:t>宿舍通风、清洁卫生、洗手设施运行是否良好、</w:t>
            </w:r>
            <w:r>
              <w:rPr>
                <w:rFonts w:ascii="Times New Roman" w:hAnsi="Times New Roman" w:cs="宋体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cs="宋体"/>
                <w:sz w:val="22"/>
                <w:szCs w:val="22"/>
              </w:rPr>
              <w:t>垃圾清理和日常公共区域消毒）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图书馆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食堂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应急预案及应急演练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根据本地区疫情防控形势和学生来源特点，特定具体防控方案和应急预案，细化各项防控措施。校医院、医务室等应当充分发挥联系疾控机构、医疗机构的纽带作用。学校开学前应与属地社区、公安部门、医疗机构和疾控机构等做好对接，开展防控应急演练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制度方案落实情况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传染病疫情防控工作方案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突发公共卫生事件应急处置预案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落实传染病疫情报告制度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开展传染病防控健康教育工作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落实师生员工晨（午）检制度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落实因病缺课登记及追踪制度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落实复课、复工证明查验制度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落实预防接种证查验制度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落实通风与消毒制度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是否购置防疫防护必需物资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是否设置隔离观察场所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是否落实师生进校体温检测制度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是否落实“日报告”“零报告”制度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是否落实环境和物体表面消毒制度</w:t>
            </w:r>
          </w:p>
        </w:tc>
        <w:tc>
          <w:tcPr>
            <w:tcW w:w="4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被检查单位负责人：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监督检查人员：</w:t>
            </w:r>
          </w:p>
        </w:tc>
        <w:tc>
          <w:tcPr>
            <w:tcW w:w="45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z w:val="22"/>
                <w:szCs w:val="22"/>
              </w:rPr>
              <w:t>检查日期：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eastAsia" w:eastAsia="方正仿宋_GBK"/>
          <w:kern w:val="0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588" w:right="2098" w:bottom="1474" w:left="19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cs="宋体"/>
        <w:sz w:val="28"/>
        <w:szCs w:val="28"/>
      </w:rPr>
    </w:pPr>
    <w:r>
      <w:rPr>
        <w:rStyle w:val="6"/>
        <w:rFonts w:ascii="宋体" w:hAnsi="宋体" w:cs="宋体"/>
        <w:sz w:val="28"/>
        <w:szCs w:val="28"/>
      </w:rPr>
      <w:t>—</w:t>
    </w:r>
    <w:r>
      <w:rPr>
        <w:rStyle w:val="6"/>
        <w:rFonts w:ascii="宋体" w:hAnsi="宋体" w:cs="宋体"/>
        <w:sz w:val="28"/>
        <w:szCs w:val="28"/>
      </w:rPr>
      <w:fldChar w:fldCharType="begin"/>
    </w:r>
    <w:r>
      <w:rPr>
        <w:rStyle w:val="6"/>
        <w:rFonts w:ascii="宋体" w:hAnsi="宋体" w:cs="宋体"/>
        <w:sz w:val="28"/>
        <w:szCs w:val="28"/>
      </w:rPr>
      <w:instrText xml:space="preserve">PAGE  </w:instrText>
    </w:r>
    <w:r>
      <w:rPr>
        <w:rStyle w:val="6"/>
        <w:rFonts w:ascii="宋体" w:hAnsi="宋体" w:cs="宋体"/>
        <w:sz w:val="28"/>
        <w:szCs w:val="28"/>
      </w:rPr>
      <w:fldChar w:fldCharType="separate"/>
    </w:r>
    <w:r>
      <w:rPr>
        <w:rStyle w:val="6"/>
        <w:rFonts w:ascii="宋体" w:hAnsi="宋体" w:cs="宋体"/>
        <w:sz w:val="28"/>
        <w:szCs w:val="28"/>
      </w:rPr>
      <w:t>1</w:t>
    </w:r>
    <w:r>
      <w:rPr>
        <w:rStyle w:val="6"/>
        <w:rFonts w:ascii="宋体" w:hAnsi="宋体" w:cs="宋体"/>
        <w:sz w:val="28"/>
        <w:szCs w:val="28"/>
      </w:rPr>
      <w:fldChar w:fldCharType="end"/>
    </w:r>
    <w:r>
      <w:rPr>
        <w:rStyle w:val="6"/>
        <w:rFonts w:ascii="宋体" w:hAnsi="宋体" w:cs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F34CD"/>
    <w:rsid w:val="1BBA00C2"/>
    <w:rsid w:val="2BCD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稳稳</cp:lastModifiedBy>
  <dcterms:modified xsi:type="dcterms:W3CDTF">2021-01-06T02:38:06Z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319088661_btnclosed</vt:lpwstr>
  </property>
</Properties>
</file>