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560" w:lineRule="exact"/>
        <w:jc w:val="center"/>
        <w:rPr>
          <w:rFonts w:ascii="Times New Roman" w:hAnsi="Times New Roman" w:eastAsia="方正小标宋_GBK" w:cs="Times New Roman"/>
          <w:b w:val="0"/>
          <w:bCs w:val="0"/>
        </w:rPr>
      </w:pPr>
      <w:bookmarkStart w:id="0" w:name="_Toc24724710"/>
      <w:bookmarkStart w:id="1" w:name="_Toc14256_WPSOffice_Level1"/>
      <w:r>
        <w:rPr>
          <w:rFonts w:ascii="Times New Roman" w:hAnsi="Times New Roman" w:eastAsia="方正小标宋_GBK" w:cs="Times New Roman"/>
          <w:b w:val="0"/>
          <w:bCs w:val="0"/>
        </w:rPr>
        <w:t>农村危房改造服务领</w:t>
      </w:r>
      <w:bookmarkStart w:id="2" w:name="_GoBack"/>
      <w:bookmarkEnd w:id="2"/>
      <w:r>
        <w:rPr>
          <w:rFonts w:ascii="Times New Roman" w:hAnsi="Times New Roman" w:eastAsia="方正小标宋_GBK" w:cs="Times New Roman"/>
          <w:b w:val="0"/>
          <w:bCs w:val="0"/>
        </w:rPr>
        <w:t>域政务公开标准目录</w:t>
      </w:r>
      <w:bookmarkEnd w:id="0"/>
      <w:bookmarkEnd w:id="1"/>
    </w:p>
    <w:tbl>
      <w:tblPr>
        <w:tblStyle w:val="7"/>
        <w:tblW w:w="15114" w:type="dxa"/>
        <w:jc w:val="center"/>
        <w:tblLayout w:type="fixed"/>
        <w:tblCellMar>
          <w:top w:w="0" w:type="dxa"/>
          <w:left w:w="0" w:type="dxa"/>
          <w:bottom w:w="0" w:type="dxa"/>
          <w:right w:w="0" w:type="dxa"/>
        </w:tblCellMar>
      </w:tblPr>
      <w:tblGrid>
        <w:gridCol w:w="354"/>
        <w:gridCol w:w="310"/>
        <w:gridCol w:w="457"/>
        <w:gridCol w:w="676"/>
        <w:gridCol w:w="1310"/>
        <w:gridCol w:w="3736"/>
        <w:gridCol w:w="928"/>
        <w:gridCol w:w="972"/>
        <w:gridCol w:w="3171"/>
        <w:gridCol w:w="514"/>
        <w:gridCol w:w="458"/>
        <w:gridCol w:w="514"/>
        <w:gridCol w:w="628"/>
        <w:gridCol w:w="586"/>
        <w:gridCol w:w="500"/>
      </w:tblGrid>
      <w:tr>
        <w:tblPrEx>
          <w:tblCellMar>
            <w:top w:w="0" w:type="dxa"/>
            <w:left w:w="0" w:type="dxa"/>
            <w:bottom w:w="0" w:type="dxa"/>
            <w:right w:w="0" w:type="dxa"/>
          </w:tblCellMar>
        </w:tblPrEx>
        <w:trPr>
          <w:trHeight w:val="431" w:hRule="atLeast"/>
          <w:tblHeader/>
          <w:jc w:val="center"/>
        </w:trPr>
        <w:tc>
          <w:tcPr>
            <w:tcW w:w="354"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sz w:val="18"/>
                <w:szCs w:val="18"/>
              </w:rPr>
            </w:pPr>
            <w:r>
              <w:rPr>
                <w:rFonts w:hint="default" w:ascii="Times New Roman" w:hAnsi="Times New Roman" w:eastAsia="方正黑体_GBK" w:cs="Times New Roman"/>
                <w:b w:val="0"/>
                <w:bCs w:val="0"/>
                <w:color w:val="000000"/>
                <w:kern w:val="0"/>
                <w:sz w:val="18"/>
                <w:szCs w:val="18"/>
              </w:rPr>
              <w:t>序号</w:t>
            </w:r>
          </w:p>
        </w:tc>
        <w:tc>
          <w:tcPr>
            <w:tcW w:w="310"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sz w:val="18"/>
                <w:szCs w:val="18"/>
              </w:rPr>
            </w:pPr>
            <w:r>
              <w:rPr>
                <w:rFonts w:hint="default" w:ascii="Times New Roman" w:hAnsi="Times New Roman" w:eastAsia="方正黑体_GBK" w:cs="Times New Roman"/>
                <w:b w:val="0"/>
                <w:bCs w:val="0"/>
                <w:color w:val="000000"/>
                <w:kern w:val="0"/>
                <w:sz w:val="18"/>
                <w:szCs w:val="18"/>
              </w:rPr>
              <w:t>过程</w:t>
            </w:r>
          </w:p>
        </w:tc>
        <w:tc>
          <w:tcPr>
            <w:tcW w:w="1133"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sz w:val="18"/>
                <w:szCs w:val="18"/>
              </w:rPr>
            </w:pPr>
            <w:r>
              <w:rPr>
                <w:rFonts w:hint="default" w:ascii="Times New Roman" w:hAnsi="Times New Roman" w:eastAsia="方正黑体_GBK" w:cs="Times New Roman"/>
                <w:b w:val="0"/>
                <w:bCs w:val="0"/>
                <w:color w:val="000000"/>
                <w:kern w:val="0"/>
                <w:sz w:val="18"/>
                <w:szCs w:val="18"/>
              </w:rPr>
              <w:t>公开事项</w:t>
            </w:r>
          </w:p>
        </w:tc>
        <w:tc>
          <w:tcPr>
            <w:tcW w:w="1310"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sz w:val="18"/>
                <w:szCs w:val="18"/>
              </w:rPr>
            </w:pPr>
            <w:r>
              <w:rPr>
                <w:rFonts w:hint="default" w:ascii="Times New Roman" w:hAnsi="Times New Roman" w:eastAsia="方正黑体_GBK" w:cs="Times New Roman"/>
                <w:b w:val="0"/>
                <w:bCs w:val="0"/>
                <w:color w:val="000000"/>
                <w:kern w:val="0"/>
                <w:sz w:val="18"/>
                <w:szCs w:val="18"/>
              </w:rPr>
              <w:t xml:space="preserve">公开内容 </w:t>
            </w:r>
          </w:p>
        </w:tc>
        <w:tc>
          <w:tcPr>
            <w:tcW w:w="373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sz w:val="18"/>
                <w:szCs w:val="18"/>
              </w:rPr>
            </w:pPr>
            <w:r>
              <w:rPr>
                <w:rFonts w:hint="default" w:ascii="Times New Roman" w:hAnsi="Times New Roman" w:eastAsia="方正黑体_GBK" w:cs="Times New Roman"/>
                <w:b w:val="0"/>
                <w:bCs w:val="0"/>
                <w:color w:val="000000"/>
                <w:kern w:val="0"/>
                <w:sz w:val="18"/>
                <w:szCs w:val="18"/>
              </w:rPr>
              <w:t>公开依据</w:t>
            </w:r>
          </w:p>
        </w:tc>
        <w:tc>
          <w:tcPr>
            <w:tcW w:w="928"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kern w:val="0"/>
                <w:sz w:val="18"/>
                <w:szCs w:val="18"/>
              </w:rPr>
            </w:pPr>
            <w:r>
              <w:rPr>
                <w:rFonts w:hint="default" w:ascii="Times New Roman" w:hAnsi="Times New Roman" w:eastAsia="方正黑体_GBK" w:cs="Times New Roman"/>
                <w:b w:val="0"/>
                <w:bCs w:val="0"/>
                <w:color w:val="000000"/>
                <w:kern w:val="0"/>
                <w:sz w:val="18"/>
                <w:szCs w:val="18"/>
              </w:rPr>
              <w:t>公开</w:t>
            </w:r>
          </w:p>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sz w:val="18"/>
                <w:szCs w:val="18"/>
              </w:rPr>
            </w:pPr>
            <w:r>
              <w:rPr>
                <w:rFonts w:hint="default" w:ascii="Times New Roman" w:hAnsi="Times New Roman" w:eastAsia="方正黑体_GBK" w:cs="Times New Roman"/>
                <w:b w:val="0"/>
                <w:bCs w:val="0"/>
                <w:color w:val="000000"/>
                <w:kern w:val="0"/>
                <w:sz w:val="18"/>
                <w:szCs w:val="18"/>
              </w:rPr>
              <w:t>时限</w:t>
            </w:r>
          </w:p>
        </w:tc>
        <w:tc>
          <w:tcPr>
            <w:tcW w:w="9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sz w:val="18"/>
                <w:szCs w:val="18"/>
              </w:rPr>
            </w:pPr>
            <w:r>
              <w:rPr>
                <w:rFonts w:hint="default" w:ascii="Times New Roman" w:hAnsi="Times New Roman" w:eastAsia="方正黑体_GBK" w:cs="Times New Roman"/>
                <w:b w:val="0"/>
                <w:bCs w:val="0"/>
                <w:color w:val="000000"/>
                <w:kern w:val="0"/>
                <w:sz w:val="18"/>
                <w:szCs w:val="18"/>
              </w:rPr>
              <w:t>公开主体</w:t>
            </w:r>
          </w:p>
        </w:tc>
        <w:tc>
          <w:tcPr>
            <w:tcW w:w="3171"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default" w:ascii="Times New Roman" w:hAnsi="Times New Roman" w:eastAsia="方正黑体_GBK" w:cs="Times New Roman"/>
                <w:b/>
                <w:bCs/>
                <w:color w:val="000000"/>
                <w:sz w:val="18"/>
                <w:szCs w:val="18"/>
              </w:rPr>
            </w:pPr>
            <w:r>
              <w:rPr>
                <w:rFonts w:hint="default" w:ascii="Times New Roman" w:hAnsi="Times New Roman" w:eastAsia="方正黑体_GBK" w:cs="Times New Roman"/>
                <w:i w:val="0"/>
                <w:color w:val="000000"/>
                <w:kern w:val="0"/>
                <w:sz w:val="18"/>
                <w:szCs w:val="18"/>
                <w:u w:val="none"/>
                <w:lang w:val="en-US" w:eastAsia="zh-CN" w:bidi="ar"/>
              </w:rPr>
              <w:t xml:space="preserve">        公开渠道和载体              </w:t>
            </w:r>
          </w:p>
        </w:tc>
        <w:tc>
          <w:tcPr>
            <w:tcW w:w="972"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bCs/>
                <w:color w:val="000000"/>
                <w:sz w:val="18"/>
                <w:szCs w:val="18"/>
              </w:rPr>
            </w:pPr>
            <w:r>
              <w:rPr>
                <w:rFonts w:hint="default" w:ascii="Times New Roman" w:hAnsi="Times New Roman" w:eastAsia="方正黑体_GBK" w:cs="Times New Roman"/>
                <w:i w:val="0"/>
                <w:color w:val="000000"/>
                <w:kern w:val="0"/>
                <w:sz w:val="18"/>
                <w:szCs w:val="18"/>
                <w:u w:val="none"/>
                <w:lang w:val="en-US" w:eastAsia="zh-CN" w:bidi="ar"/>
              </w:rPr>
              <w:t>公开对象</w:t>
            </w:r>
          </w:p>
        </w:tc>
        <w:tc>
          <w:tcPr>
            <w:tcW w:w="1142"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bCs/>
                <w:color w:val="000000"/>
                <w:sz w:val="18"/>
                <w:szCs w:val="18"/>
              </w:rPr>
            </w:pPr>
            <w:r>
              <w:rPr>
                <w:rFonts w:hint="default" w:ascii="Times New Roman" w:hAnsi="Times New Roman" w:eastAsia="方正黑体_GBK" w:cs="Times New Roman"/>
                <w:i w:val="0"/>
                <w:color w:val="000000"/>
                <w:kern w:val="0"/>
                <w:sz w:val="18"/>
                <w:szCs w:val="18"/>
                <w:u w:val="none"/>
                <w:lang w:val="en-US" w:eastAsia="zh-CN" w:bidi="ar"/>
              </w:rPr>
              <w:t>公开方式</w:t>
            </w:r>
          </w:p>
        </w:tc>
        <w:tc>
          <w:tcPr>
            <w:tcW w:w="108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bCs/>
                <w:color w:val="000000"/>
                <w:sz w:val="18"/>
                <w:szCs w:val="18"/>
                <w:lang w:eastAsia="zh-CN"/>
              </w:rPr>
            </w:pPr>
            <w:r>
              <w:rPr>
                <w:rFonts w:hint="default" w:ascii="Times New Roman" w:hAnsi="Times New Roman" w:eastAsia="方正黑体_GBK" w:cs="Times New Roman"/>
                <w:i w:val="0"/>
                <w:color w:val="000000"/>
                <w:kern w:val="0"/>
                <w:sz w:val="18"/>
                <w:szCs w:val="18"/>
                <w:u w:val="none"/>
                <w:lang w:val="en-US" w:eastAsia="zh-CN" w:bidi="ar"/>
              </w:rPr>
              <w:t xml:space="preserve"> 公开层级</w:t>
            </w:r>
          </w:p>
        </w:tc>
      </w:tr>
      <w:tr>
        <w:tblPrEx>
          <w:tblCellMar>
            <w:top w:w="0" w:type="dxa"/>
            <w:left w:w="0" w:type="dxa"/>
            <w:bottom w:w="0" w:type="dxa"/>
            <w:right w:w="0" w:type="dxa"/>
          </w:tblCellMar>
        </w:tblPrEx>
        <w:trPr>
          <w:trHeight w:val="363" w:hRule="atLeast"/>
          <w:tblHeader/>
          <w:jc w:val="center"/>
        </w:trPr>
        <w:tc>
          <w:tcPr>
            <w:tcW w:w="354" w:type="dxa"/>
            <w:vMerge w:val="continue"/>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val="0"/>
                <w:bCs w:val="0"/>
                <w:color w:val="000000"/>
                <w:sz w:val="18"/>
                <w:szCs w:val="18"/>
              </w:rPr>
            </w:pPr>
          </w:p>
        </w:tc>
        <w:tc>
          <w:tcPr>
            <w:tcW w:w="310" w:type="dxa"/>
            <w:vMerge w:val="continue"/>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val="0"/>
                <w:bCs w:val="0"/>
                <w:color w:val="000000"/>
                <w:sz w:val="18"/>
                <w:szCs w:val="18"/>
              </w:rPr>
            </w:pPr>
          </w:p>
        </w:tc>
        <w:tc>
          <w:tcPr>
            <w:tcW w:w="457"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sz w:val="18"/>
                <w:szCs w:val="18"/>
              </w:rPr>
            </w:pPr>
            <w:r>
              <w:rPr>
                <w:rFonts w:hint="default" w:ascii="Times New Roman" w:hAnsi="Times New Roman" w:eastAsia="方正黑体_GBK" w:cs="Times New Roman"/>
                <w:b w:val="0"/>
                <w:bCs w:val="0"/>
                <w:color w:val="000000"/>
                <w:kern w:val="0"/>
                <w:sz w:val="18"/>
                <w:szCs w:val="18"/>
              </w:rPr>
              <w:t>一级 事项</w:t>
            </w:r>
          </w:p>
        </w:tc>
        <w:tc>
          <w:tcPr>
            <w:tcW w:w="676"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kern w:val="0"/>
                <w:sz w:val="18"/>
                <w:szCs w:val="18"/>
              </w:rPr>
            </w:pPr>
            <w:r>
              <w:rPr>
                <w:rFonts w:hint="default" w:ascii="Times New Roman" w:hAnsi="Times New Roman" w:eastAsia="方正黑体_GBK" w:cs="Times New Roman"/>
                <w:b w:val="0"/>
                <w:bCs w:val="0"/>
                <w:color w:val="000000"/>
                <w:kern w:val="0"/>
                <w:sz w:val="18"/>
                <w:szCs w:val="18"/>
              </w:rPr>
              <w:t>二级</w:t>
            </w:r>
          </w:p>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color w:val="000000"/>
                <w:sz w:val="18"/>
                <w:szCs w:val="18"/>
              </w:rPr>
            </w:pPr>
            <w:r>
              <w:rPr>
                <w:rFonts w:hint="default" w:ascii="Times New Roman" w:hAnsi="Times New Roman" w:eastAsia="方正黑体_GBK" w:cs="Times New Roman"/>
                <w:b w:val="0"/>
                <w:bCs w:val="0"/>
                <w:color w:val="000000"/>
                <w:kern w:val="0"/>
                <w:sz w:val="18"/>
                <w:szCs w:val="18"/>
              </w:rPr>
              <w:t>事项</w:t>
            </w:r>
          </w:p>
        </w:tc>
        <w:tc>
          <w:tcPr>
            <w:tcW w:w="1310" w:type="dxa"/>
            <w:vMerge w:val="continue"/>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bCs/>
                <w:color w:val="000000"/>
                <w:sz w:val="18"/>
                <w:szCs w:val="18"/>
              </w:rPr>
            </w:pPr>
          </w:p>
        </w:tc>
        <w:tc>
          <w:tcPr>
            <w:tcW w:w="3736" w:type="dxa"/>
            <w:vMerge w:val="continue"/>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bCs/>
                <w:color w:val="000000"/>
                <w:sz w:val="18"/>
                <w:szCs w:val="18"/>
              </w:rPr>
            </w:pPr>
          </w:p>
        </w:tc>
        <w:tc>
          <w:tcPr>
            <w:tcW w:w="928" w:type="dxa"/>
            <w:vMerge w:val="continue"/>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bCs/>
                <w:color w:val="000000"/>
                <w:sz w:val="18"/>
                <w:szCs w:val="18"/>
              </w:rPr>
            </w:pPr>
          </w:p>
        </w:tc>
        <w:tc>
          <w:tcPr>
            <w:tcW w:w="972" w:type="dxa"/>
            <w:vMerge w:val="continue"/>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黑体_GBK" w:cs="Times New Roman"/>
                <w:b/>
                <w:bCs/>
                <w:color w:val="000000"/>
                <w:sz w:val="18"/>
                <w:szCs w:val="18"/>
              </w:rPr>
            </w:pPr>
          </w:p>
        </w:tc>
        <w:tc>
          <w:tcPr>
            <w:tcW w:w="3171" w:type="dxa"/>
            <w:vMerge w:val="continue"/>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after="0" w:line="200" w:lineRule="exact"/>
              <w:jc w:val="left"/>
              <w:rPr>
                <w:rFonts w:hint="default" w:ascii="Times New Roman" w:hAnsi="Times New Roman" w:eastAsia="方正黑体_GBK" w:cs="Times New Roman"/>
                <w:b/>
                <w:bCs/>
                <w:color w:val="000000"/>
                <w:sz w:val="18"/>
                <w:szCs w:val="18"/>
              </w:rPr>
            </w:pPr>
          </w:p>
        </w:tc>
        <w:tc>
          <w:tcPr>
            <w:tcW w:w="514"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bCs/>
                <w:color w:val="000000"/>
                <w:sz w:val="18"/>
                <w:szCs w:val="18"/>
              </w:rPr>
            </w:pPr>
            <w:r>
              <w:rPr>
                <w:rFonts w:hint="default" w:ascii="Times New Roman" w:hAnsi="Times New Roman" w:eastAsia="方正黑体_GBK" w:cs="Times New Roman"/>
                <w:i w:val="0"/>
                <w:color w:val="000000"/>
                <w:kern w:val="0"/>
                <w:sz w:val="18"/>
                <w:szCs w:val="18"/>
                <w:u w:val="none"/>
                <w:lang w:val="en-US" w:eastAsia="zh-CN" w:bidi="ar"/>
              </w:rPr>
              <w:t>全社会</w:t>
            </w:r>
          </w:p>
        </w:tc>
        <w:tc>
          <w:tcPr>
            <w:tcW w:w="458"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bCs/>
                <w:color w:val="000000"/>
                <w:sz w:val="18"/>
                <w:szCs w:val="18"/>
              </w:rPr>
            </w:pPr>
            <w:r>
              <w:rPr>
                <w:rFonts w:hint="default" w:ascii="Times New Roman" w:hAnsi="Times New Roman" w:eastAsia="方正黑体_GBK" w:cs="Times New Roman"/>
                <w:i w:val="0"/>
                <w:color w:val="000000"/>
                <w:kern w:val="0"/>
                <w:sz w:val="18"/>
                <w:szCs w:val="18"/>
                <w:u w:val="none"/>
                <w:lang w:val="en-US" w:eastAsia="zh-CN" w:bidi="ar"/>
              </w:rPr>
              <w:t>特定群体</w:t>
            </w:r>
          </w:p>
        </w:tc>
        <w:tc>
          <w:tcPr>
            <w:tcW w:w="514"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overflowPunct w:val="0"/>
              <w:snapToGrid w:val="0"/>
              <w:spacing w:line="200" w:lineRule="exact"/>
              <w:jc w:val="center"/>
              <w:rPr>
                <w:rFonts w:hint="default" w:ascii="Times New Roman" w:hAnsi="Times New Roman" w:eastAsia="方正黑体_GBK" w:cs="Times New Roman"/>
                <w:b/>
                <w:bCs/>
                <w:color w:val="000000"/>
                <w:sz w:val="18"/>
                <w:szCs w:val="18"/>
              </w:rPr>
            </w:pPr>
            <w:r>
              <w:rPr>
                <w:rFonts w:hint="default" w:ascii="Times New Roman" w:hAnsi="Times New Roman" w:eastAsia="方正黑体_GBK" w:cs="Times New Roman"/>
                <w:color w:val="000000"/>
                <w:kern w:val="0"/>
                <w:sz w:val="18"/>
                <w:szCs w:val="18"/>
              </w:rPr>
              <w:t>主动公开</w:t>
            </w:r>
          </w:p>
        </w:tc>
        <w:tc>
          <w:tcPr>
            <w:tcW w:w="628"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overflowPunct w:val="0"/>
              <w:snapToGrid w:val="0"/>
              <w:spacing w:line="200" w:lineRule="exact"/>
              <w:jc w:val="center"/>
              <w:rPr>
                <w:rFonts w:hint="default" w:ascii="Times New Roman" w:hAnsi="Times New Roman" w:eastAsia="方正黑体_GBK" w:cs="Times New Roman"/>
                <w:b/>
                <w:bCs/>
                <w:color w:val="000000"/>
                <w:sz w:val="18"/>
                <w:szCs w:val="18"/>
              </w:rPr>
            </w:pPr>
            <w:r>
              <w:rPr>
                <w:rFonts w:hint="default" w:ascii="Times New Roman" w:hAnsi="Times New Roman" w:eastAsia="方正黑体_GBK" w:cs="Times New Roman"/>
                <w:color w:val="000000"/>
                <w:kern w:val="0"/>
                <w:sz w:val="18"/>
                <w:szCs w:val="18"/>
              </w:rPr>
              <w:t>依申请公开</w:t>
            </w:r>
          </w:p>
        </w:tc>
        <w:tc>
          <w:tcPr>
            <w:tcW w:w="586"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overflowPunct w:val="0"/>
              <w:snapToGrid w:val="0"/>
              <w:spacing w:line="200" w:lineRule="exact"/>
              <w:jc w:val="center"/>
              <w:rPr>
                <w:rFonts w:hint="default" w:ascii="Times New Roman" w:hAnsi="Times New Roman" w:eastAsia="方正黑体_GBK" w:cs="Times New Roman"/>
                <w:b/>
                <w:bCs/>
                <w:color w:val="000000"/>
                <w:sz w:val="18"/>
                <w:szCs w:val="18"/>
                <w:lang w:eastAsia="zh-CN"/>
              </w:rPr>
            </w:pPr>
            <w:r>
              <w:rPr>
                <w:rFonts w:hint="default" w:ascii="Times New Roman" w:hAnsi="Times New Roman" w:eastAsia="方正黑体_GBK" w:cs="Times New Roman"/>
                <w:color w:val="000000"/>
                <w:kern w:val="0"/>
                <w:sz w:val="18"/>
                <w:szCs w:val="18"/>
                <w:lang w:eastAsia="zh-CN"/>
              </w:rPr>
              <w:t>区级</w:t>
            </w:r>
          </w:p>
        </w:tc>
        <w:tc>
          <w:tcPr>
            <w:tcW w:w="500"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overflowPunct w:val="0"/>
              <w:snapToGrid w:val="0"/>
              <w:spacing w:line="200" w:lineRule="exact"/>
              <w:jc w:val="center"/>
              <w:rPr>
                <w:rFonts w:hint="default" w:ascii="Times New Roman" w:hAnsi="Times New Roman" w:eastAsia="方正黑体_GBK" w:cs="Times New Roman"/>
                <w:b/>
                <w:bCs/>
                <w:color w:val="000000"/>
                <w:sz w:val="18"/>
                <w:szCs w:val="18"/>
                <w:lang w:eastAsia="zh-CN"/>
              </w:rPr>
            </w:pPr>
            <w:r>
              <w:rPr>
                <w:rFonts w:hint="default" w:ascii="Times New Roman" w:hAnsi="Times New Roman" w:eastAsia="方正黑体_GBK" w:cs="Times New Roman"/>
                <w:color w:val="000000"/>
                <w:kern w:val="0"/>
                <w:sz w:val="18"/>
                <w:szCs w:val="18"/>
              </w:rPr>
              <w:t>乡镇级</w:t>
            </w:r>
          </w:p>
        </w:tc>
      </w:tr>
      <w:tr>
        <w:tblPrEx>
          <w:tblCellMar>
            <w:top w:w="0" w:type="dxa"/>
            <w:left w:w="0" w:type="dxa"/>
            <w:bottom w:w="0" w:type="dxa"/>
            <w:right w:w="0" w:type="dxa"/>
          </w:tblCellMar>
        </w:tblPrEx>
        <w:trPr>
          <w:trHeight w:val="1407" w:hRule="atLeast"/>
          <w:jc w:val="center"/>
        </w:trPr>
        <w:tc>
          <w:tcPr>
            <w:tcW w:w="354"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eastAsia" w:ascii="Times New Roman" w:hAnsi="Times New Roman" w:eastAsia="方正仿宋_GBK" w:cs="Times New Roman"/>
                <w:color w:val="000000"/>
                <w:kern w:val="0"/>
                <w:sz w:val="18"/>
                <w:szCs w:val="18"/>
                <w:lang w:val="en-US" w:eastAsia="zh-CN"/>
              </w:rPr>
              <w:t>1</w:t>
            </w:r>
          </w:p>
        </w:tc>
        <w:tc>
          <w:tcPr>
            <w:tcW w:w="310" w:type="dxa"/>
            <w:vMerge w:val="restart"/>
            <w:tcBorders>
              <w:top w:val="single" w:color="auto" w:sz="4" w:space="0"/>
              <w:left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决策</w:t>
            </w:r>
          </w:p>
        </w:tc>
        <w:tc>
          <w:tcPr>
            <w:tcW w:w="457" w:type="dxa"/>
            <w:vMerge w:val="restart"/>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政策</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解读</w:t>
            </w:r>
          </w:p>
        </w:tc>
        <w:tc>
          <w:tcPr>
            <w:tcW w:w="676"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上级政策解读</w:t>
            </w:r>
          </w:p>
        </w:tc>
        <w:tc>
          <w:tcPr>
            <w:tcW w:w="1310" w:type="dxa"/>
            <w:vMerge w:val="restart"/>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着重解读政策措施的背景依据、目标任务、主要内容、涉及范围、执行标准，以及注意事项、关键词诠释、惠民利民举措、新旧政策差异等</w:t>
            </w:r>
          </w:p>
        </w:tc>
        <w:tc>
          <w:tcPr>
            <w:tcW w:w="3736" w:type="dxa"/>
            <w:vMerge w:val="restart"/>
            <w:tcBorders>
              <w:top w:val="single" w:color="auto" w:sz="4" w:space="0"/>
              <w:left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lef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《中华人民共和国政府信息公开条例》</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《中共中央办公厅国务院办公厅印发〈关于全面推进政务公开工作的意见〉的通知》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《中共中央办公厅 国务院办公厅关于建立健全信息发布和政策解读机制的意见》</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《国务院办公厅印发〈关于全面推进政务公开工作的意见〉实施细则的通知》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《住房城乡建设部办公厅关于印发保障性住房等基层政务公开标准目录的通知》</w:t>
            </w:r>
          </w:p>
        </w:tc>
        <w:tc>
          <w:tcPr>
            <w:tcW w:w="928"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信息形成之日起20个工作日内</w:t>
            </w:r>
          </w:p>
        </w:tc>
        <w:tc>
          <w:tcPr>
            <w:tcW w:w="972"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lang w:val="en-US"/>
              </w:rPr>
            </w:pPr>
            <w:r>
              <w:rPr>
                <w:rFonts w:hint="default" w:ascii="Times New Roman" w:hAnsi="Times New Roman" w:eastAsia="方正仿宋_GBK" w:cs="Times New Roman"/>
                <w:color w:val="000000"/>
                <w:kern w:val="0"/>
                <w:sz w:val="18"/>
                <w:szCs w:val="18"/>
                <w:lang w:eastAsia="zh-CN"/>
              </w:rPr>
              <w:t>区住房城乡建委、</w:t>
            </w:r>
            <w:r>
              <w:rPr>
                <w:rFonts w:hint="eastAsia" w:ascii="Times New Roman" w:hAnsi="Times New Roman" w:eastAsia="方正仿宋_GBK" w:cs="Times New Roman"/>
                <w:color w:val="000000"/>
                <w:kern w:val="0"/>
                <w:sz w:val="18"/>
                <w:szCs w:val="18"/>
                <w:lang w:val="en-US" w:eastAsia="zh-CN"/>
              </w:rPr>
              <w:t>金洞乡人民政府</w:t>
            </w:r>
          </w:p>
        </w:tc>
        <w:tc>
          <w:tcPr>
            <w:tcW w:w="3171"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14"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86"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500"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r>
      <w:tr>
        <w:tblPrEx>
          <w:tblCellMar>
            <w:top w:w="0" w:type="dxa"/>
            <w:left w:w="0" w:type="dxa"/>
            <w:bottom w:w="0" w:type="dxa"/>
            <w:right w:w="0" w:type="dxa"/>
          </w:tblCellMar>
        </w:tblPrEx>
        <w:trPr>
          <w:trHeight w:val="1552" w:hRule="atLeast"/>
          <w:jc w:val="center"/>
        </w:trPr>
        <w:tc>
          <w:tcPr>
            <w:tcW w:w="354"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eastAsia" w:ascii="Times New Roman" w:hAnsi="Times New Roman" w:eastAsia="方正仿宋_GBK" w:cs="Times New Roman"/>
                <w:color w:val="000000"/>
                <w:kern w:val="0"/>
                <w:sz w:val="18"/>
                <w:szCs w:val="18"/>
                <w:lang w:val="en-US" w:eastAsia="zh-CN"/>
              </w:rPr>
              <w:t>2</w:t>
            </w:r>
          </w:p>
        </w:tc>
        <w:tc>
          <w:tcPr>
            <w:tcW w:w="310" w:type="dxa"/>
            <w:vMerge w:val="continue"/>
            <w:tcBorders>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457" w:type="dxa"/>
            <w:vMerge w:val="continue"/>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676"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本级政策解读</w:t>
            </w:r>
          </w:p>
        </w:tc>
        <w:tc>
          <w:tcPr>
            <w:tcW w:w="1310" w:type="dxa"/>
            <w:vMerge w:val="continue"/>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left"/>
              <w:rPr>
                <w:rFonts w:hint="default" w:ascii="Times New Roman" w:hAnsi="Times New Roman" w:eastAsia="方正仿宋_GBK" w:cs="Times New Roman"/>
                <w:color w:val="000000"/>
                <w:sz w:val="18"/>
                <w:szCs w:val="18"/>
              </w:rPr>
            </w:pPr>
          </w:p>
        </w:tc>
        <w:tc>
          <w:tcPr>
            <w:tcW w:w="3736" w:type="dxa"/>
            <w:vMerge w:val="continue"/>
            <w:tcBorders>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left"/>
              <w:rPr>
                <w:rFonts w:hint="default" w:ascii="Times New Roman" w:hAnsi="Times New Roman" w:eastAsia="方正仿宋_GBK" w:cs="Times New Roman"/>
                <w:color w:val="000000"/>
                <w:sz w:val="18"/>
                <w:szCs w:val="18"/>
              </w:rPr>
            </w:pPr>
          </w:p>
        </w:tc>
        <w:tc>
          <w:tcPr>
            <w:tcW w:w="928"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信息形成之日起20个工作日内</w:t>
            </w:r>
          </w:p>
        </w:tc>
        <w:tc>
          <w:tcPr>
            <w:tcW w:w="972"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lang w:eastAsia="zh-CN"/>
              </w:rPr>
              <w:t>区住房城乡建委、</w:t>
            </w:r>
            <w:r>
              <w:rPr>
                <w:rFonts w:hint="eastAsia" w:ascii="Times New Roman" w:hAnsi="Times New Roman" w:eastAsia="方正仿宋_GBK" w:cs="Times New Roman"/>
                <w:color w:val="000000"/>
                <w:kern w:val="0"/>
                <w:sz w:val="18"/>
                <w:szCs w:val="18"/>
                <w:lang w:val="en-US" w:eastAsia="zh-CN"/>
              </w:rPr>
              <w:t>金洞乡人民政府</w:t>
            </w:r>
          </w:p>
        </w:tc>
        <w:tc>
          <w:tcPr>
            <w:tcW w:w="3171"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14"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86"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500" w:type="dxa"/>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r>
      <w:tr>
        <w:tblPrEx>
          <w:tblCellMar>
            <w:top w:w="0" w:type="dxa"/>
            <w:left w:w="0" w:type="dxa"/>
            <w:bottom w:w="0" w:type="dxa"/>
            <w:right w:w="0" w:type="dxa"/>
          </w:tblCellMar>
        </w:tblPrEx>
        <w:trPr>
          <w:trHeight w:val="1658" w:hRule="atLeast"/>
          <w:jc w:val="center"/>
        </w:trPr>
        <w:tc>
          <w:tcPr>
            <w:tcW w:w="35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eastAsia" w:ascii="Times New Roman" w:hAnsi="Times New Roman" w:eastAsia="方正仿宋_GBK" w:cs="Times New Roman"/>
                <w:color w:val="000000"/>
                <w:kern w:val="0"/>
                <w:sz w:val="18"/>
                <w:szCs w:val="18"/>
                <w:lang w:val="en-US" w:eastAsia="zh-CN"/>
              </w:rPr>
              <w:t>3</w:t>
            </w:r>
          </w:p>
        </w:tc>
        <w:tc>
          <w:tcPr>
            <w:tcW w:w="310"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执行</w:t>
            </w:r>
          </w:p>
        </w:tc>
        <w:tc>
          <w:tcPr>
            <w:tcW w:w="457"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计划实施</w:t>
            </w:r>
          </w:p>
        </w:tc>
        <w:tc>
          <w:tcPr>
            <w:tcW w:w="6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rPr>
            </w:pPr>
            <w:r>
              <w:rPr>
                <w:rFonts w:hint="default" w:ascii="Times New Roman" w:hAnsi="Times New Roman" w:eastAsia="方正仿宋_GBK" w:cs="Times New Roman"/>
                <w:color w:val="000000"/>
                <w:kern w:val="0"/>
                <w:sz w:val="18"/>
                <w:szCs w:val="18"/>
              </w:rPr>
              <w:t>任务分配</w:t>
            </w:r>
          </w:p>
        </w:tc>
        <w:tc>
          <w:tcPr>
            <w:tcW w:w="131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及时公开农村危房改造补助农户名单</w:t>
            </w:r>
          </w:p>
        </w:tc>
        <w:tc>
          <w:tcPr>
            <w:tcW w:w="373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《住房城乡建设部 财政部 国务院扶贫办关于加强建档立卡贫困户等重点对象危房改造工作的指导意见》</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《住房城乡建设部 财政部 国务院扶贫办关于加强和完善建档立卡贫困户等重点对象农村危房改造若干问题的通知》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《重庆市住房和城乡建设委员会关于进一步规范农村危房改造工作的通知》等</w:t>
            </w:r>
          </w:p>
        </w:tc>
        <w:tc>
          <w:tcPr>
            <w:tcW w:w="9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分配结果确定后20个工作日内</w:t>
            </w:r>
          </w:p>
        </w:tc>
        <w:tc>
          <w:tcPr>
            <w:tcW w:w="97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lang w:eastAsia="zh-CN"/>
              </w:rPr>
            </w:pPr>
            <w:r>
              <w:rPr>
                <w:rFonts w:hint="default" w:ascii="Times New Roman" w:hAnsi="Times New Roman" w:eastAsia="方正仿宋_GBK" w:cs="Times New Roman"/>
                <w:color w:val="000000"/>
                <w:kern w:val="0"/>
                <w:sz w:val="18"/>
                <w:szCs w:val="18"/>
                <w:lang w:eastAsia="zh-CN"/>
              </w:rPr>
              <w:t>区住房城乡建委、</w:t>
            </w:r>
            <w:r>
              <w:rPr>
                <w:rFonts w:hint="eastAsia" w:ascii="Times New Roman" w:hAnsi="Times New Roman" w:eastAsia="方正仿宋_GBK" w:cs="Times New Roman"/>
                <w:color w:val="000000"/>
                <w:kern w:val="0"/>
                <w:sz w:val="18"/>
                <w:szCs w:val="18"/>
                <w:lang w:val="en-US" w:eastAsia="zh-CN"/>
              </w:rPr>
              <w:t>金洞乡人民政府</w:t>
            </w:r>
          </w:p>
        </w:tc>
        <w:tc>
          <w:tcPr>
            <w:tcW w:w="317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sym w:font="Wingdings 2" w:char="00A3"/>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rPr>
            </w:pP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rPr>
            </w:pPr>
          </w:p>
        </w:tc>
        <w:tc>
          <w:tcPr>
            <w:tcW w:w="58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50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rPr>
            </w:pPr>
            <w:r>
              <w:rPr>
                <w:rFonts w:hint="default" w:ascii="Times New Roman" w:hAnsi="Times New Roman" w:eastAsia="方正仿宋_GBK" w:cs="Times New Roman"/>
                <w:color w:val="000000"/>
                <w:kern w:val="0"/>
                <w:sz w:val="18"/>
                <w:szCs w:val="18"/>
              </w:rPr>
              <w:t>√</w:t>
            </w:r>
          </w:p>
        </w:tc>
      </w:tr>
      <w:tr>
        <w:tblPrEx>
          <w:tblCellMar>
            <w:top w:w="0" w:type="dxa"/>
            <w:left w:w="0" w:type="dxa"/>
            <w:bottom w:w="0" w:type="dxa"/>
            <w:right w:w="0" w:type="dxa"/>
          </w:tblCellMar>
        </w:tblPrEx>
        <w:trPr>
          <w:trHeight w:val="1803" w:hRule="atLeast"/>
          <w:jc w:val="center"/>
        </w:trPr>
        <w:tc>
          <w:tcPr>
            <w:tcW w:w="35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eastAsia" w:ascii="Times New Roman" w:hAnsi="Times New Roman" w:eastAsia="方正仿宋_GBK" w:cs="Times New Roman"/>
                <w:color w:val="000000"/>
                <w:kern w:val="0"/>
                <w:sz w:val="18"/>
                <w:szCs w:val="18"/>
                <w:lang w:val="en-US" w:eastAsia="zh-CN"/>
              </w:rPr>
              <w:t>4</w:t>
            </w:r>
          </w:p>
        </w:tc>
        <w:tc>
          <w:tcPr>
            <w:tcW w:w="310"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457"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6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组织培训</w:t>
            </w:r>
          </w:p>
        </w:tc>
        <w:tc>
          <w:tcPr>
            <w:tcW w:w="131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组织开展农村建筑工匠培训文件</w:t>
            </w:r>
          </w:p>
        </w:tc>
        <w:tc>
          <w:tcPr>
            <w:tcW w:w="373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《住房城乡建设部关于切实加强农房建设质量安全管理的通知》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《重庆市住房和城乡建设委员会关于进一步规范农村危房改造工作的通知》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《住房城乡建设部 财政部 国务院扶贫办关于决战决胜脱贫攻坚进一步做好农村危房改造的通知》</w:t>
            </w:r>
          </w:p>
        </w:tc>
        <w:tc>
          <w:tcPr>
            <w:tcW w:w="9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信息形成之日起20个工作日内</w:t>
            </w:r>
          </w:p>
        </w:tc>
        <w:tc>
          <w:tcPr>
            <w:tcW w:w="97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lang w:eastAsia="zh-CN"/>
              </w:rPr>
            </w:pPr>
            <w:r>
              <w:rPr>
                <w:rFonts w:hint="default" w:ascii="Times New Roman" w:hAnsi="Times New Roman" w:eastAsia="方正仿宋_GBK" w:cs="Times New Roman"/>
                <w:color w:val="000000"/>
                <w:kern w:val="0"/>
                <w:sz w:val="18"/>
                <w:szCs w:val="18"/>
                <w:lang w:eastAsia="zh-CN"/>
              </w:rPr>
              <w:t>区住房城乡建委、</w:t>
            </w:r>
            <w:r>
              <w:rPr>
                <w:rFonts w:hint="eastAsia" w:ascii="Times New Roman" w:hAnsi="Times New Roman" w:eastAsia="方正仿宋_GBK" w:cs="Times New Roman"/>
                <w:color w:val="000000"/>
                <w:kern w:val="0"/>
                <w:sz w:val="18"/>
                <w:szCs w:val="18"/>
                <w:lang w:val="en-US" w:eastAsia="zh-CN"/>
              </w:rPr>
              <w:t>金洞乡人民政府</w:t>
            </w:r>
          </w:p>
        </w:tc>
        <w:tc>
          <w:tcPr>
            <w:tcW w:w="317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8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50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r>
      <w:tr>
        <w:tblPrEx>
          <w:tblCellMar>
            <w:top w:w="0" w:type="dxa"/>
            <w:left w:w="0" w:type="dxa"/>
            <w:bottom w:w="0" w:type="dxa"/>
            <w:right w:w="0" w:type="dxa"/>
          </w:tblCellMar>
        </w:tblPrEx>
        <w:trPr>
          <w:trHeight w:val="1381" w:hRule="atLeast"/>
          <w:jc w:val="center"/>
        </w:trPr>
        <w:tc>
          <w:tcPr>
            <w:tcW w:w="35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eastAsia" w:ascii="Times New Roman" w:hAnsi="Times New Roman" w:eastAsia="方正仿宋_GBK" w:cs="Times New Roman"/>
                <w:color w:val="000000"/>
                <w:kern w:val="0"/>
                <w:sz w:val="18"/>
                <w:szCs w:val="18"/>
                <w:lang w:val="en-US" w:eastAsia="zh-CN"/>
              </w:rPr>
              <w:t>5</w:t>
            </w:r>
          </w:p>
        </w:tc>
        <w:tc>
          <w:tcPr>
            <w:tcW w:w="310"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after="180"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管理</w:t>
            </w:r>
          </w:p>
        </w:tc>
        <w:tc>
          <w:tcPr>
            <w:tcW w:w="457"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条件与标准</w:t>
            </w:r>
          </w:p>
        </w:tc>
        <w:tc>
          <w:tcPr>
            <w:tcW w:w="6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农村危房等级评定标准</w:t>
            </w:r>
          </w:p>
        </w:tc>
        <w:tc>
          <w:tcPr>
            <w:tcW w:w="131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农村危房等级评定相关标准</w:t>
            </w:r>
          </w:p>
        </w:tc>
        <w:tc>
          <w:tcPr>
            <w:tcW w:w="3736"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《中华人民共和国预算法》</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《中华人民共和国政府信息公开条例》</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《住房城乡建设部 财政部关于印发农村危房改造脱贫攻坚三年行动方案的通知》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《住房城乡建设部 财政部 国务院扶贫办关于加强建档立卡贫困户等重点对象危房改造工作的指导意见》</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《住房城乡建设部 财政部 国务院扶贫办关于加强和完善建档立卡贫困户等重点对象农村危房改造若干问题的通知》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《重庆市住房和城乡建设委员会关于进一步规范农村危房改造工作的通知》等</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《重庆市住房和城乡建设委员会关于印发〈重庆市农村住房安全性鉴定技术导则〉的通知》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《重庆市人民政府关于加快全市农村危房改造的实施意见》等</w:t>
            </w:r>
          </w:p>
        </w:tc>
        <w:tc>
          <w:tcPr>
            <w:tcW w:w="9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信息形成之日起20个工作日内</w:t>
            </w:r>
          </w:p>
        </w:tc>
        <w:tc>
          <w:tcPr>
            <w:tcW w:w="97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lang w:eastAsia="zh-CN"/>
              </w:rPr>
              <w:t>区住房城乡建委、</w:t>
            </w:r>
            <w:r>
              <w:rPr>
                <w:rFonts w:hint="eastAsia" w:ascii="Times New Roman" w:hAnsi="Times New Roman" w:eastAsia="方正仿宋_GBK" w:cs="Times New Roman"/>
                <w:color w:val="000000"/>
                <w:kern w:val="0"/>
                <w:sz w:val="18"/>
                <w:szCs w:val="18"/>
                <w:lang w:val="en-US" w:eastAsia="zh-CN"/>
              </w:rPr>
              <w:t>金洞乡人民政府</w:t>
            </w:r>
          </w:p>
        </w:tc>
        <w:tc>
          <w:tcPr>
            <w:tcW w:w="317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8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50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r>
      <w:tr>
        <w:tblPrEx>
          <w:tblCellMar>
            <w:top w:w="0" w:type="dxa"/>
            <w:left w:w="0" w:type="dxa"/>
            <w:bottom w:w="0" w:type="dxa"/>
            <w:right w:w="0" w:type="dxa"/>
          </w:tblCellMar>
        </w:tblPrEx>
        <w:trPr>
          <w:trHeight w:val="1424" w:hRule="atLeast"/>
          <w:jc w:val="center"/>
        </w:trPr>
        <w:tc>
          <w:tcPr>
            <w:tcW w:w="35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eastAsia" w:ascii="Times New Roman" w:hAnsi="Times New Roman" w:eastAsia="方正仿宋_GBK" w:cs="Times New Roman"/>
                <w:color w:val="000000"/>
                <w:kern w:val="0"/>
                <w:sz w:val="18"/>
                <w:szCs w:val="18"/>
                <w:lang w:val="en-US" w:eastAsia="zh-CN"/>
              </w:rPr>
              <w:t>6</w:t>
            </w:r>
          </w:p>
        </w:tc>
        <w:tc>
          <w:tcPr>
            <w:tcW w:w="310"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457"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6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农村危房改造对象申请条件</w:t>
            </w:r>
          </w:p>
        </w:tc>
        <w:tc>
          <w:tcPr>
            <w:tcW w:w="131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农村危房改造农户申请条件</w:t>
            </w:r>
          </w:p>
        </w:tc>
        <w:tc>
          <w:tcPr>
            <w:tcW w:w="3736"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left"/>
              <w:rPr>
                <w:rFonts w:hint="default" w:ascii="Times New Roman" w:hAnsi="Times New Roman" w:eastAsia="方正仿宋_GBK" w:cs="Times New Roman"/>
                <w:color w:val="000000"/>
                <w:sz w:val="18"/>
                <w:szCs w:val="18"/>
              </w:rPr>
            </w:pPr>
          </w:p>
        </w:tc>
        <w:tc>
          <w:tcPr>
            <w:tcW w:w="9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信息形成之日起20个工作日内</w:t>
            </w:r>
          </w:p>
        </w:tc>
        <w:tc>
          <w:tcPr>
            <w:tcW w:w="97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lang w:eastAsia="zh-CN"/>
              </w:rPr>
              <w:t>区扶贫办、区民政局、区残联、区住房城乡建委、</w:t>
            </w:r>
            <w:r>
              <w:rPr>
                <w:rFonts w:hint="eastAsia" w:ascii="Times New Roman" w:hAnsi="Times New Roman" w:eastAsia="方正仿宋_GBK" w:cs="Times New Roman"/>
                <w:color w:val="000000"/>
                <w:kern w:val="0"/>
                <w:sz w:val="18"/>
                <w:szCs w:val="18"/>
                <w:lang w:val="en-US" w:eastAsia="zh-CN"/>
              </w:rPr>
              <w:t>金洞乡人民政府</w:t>
            </w:r>
          </w:p>
        </w:tc>
        <w:tc>
          <w:tcPr>
            <w:tcW w:w="317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sym w:font="Wingdings 2" w:char="00A3"/>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sym w:font="Wingdings 2" w:char="00A3"/>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8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50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r>
      <w:tr>
        <w:tblPrEx>
          <w:tblCellMar>
            <w:top w:w="0" w:type="dxa"/>
            <w:left w:w="0" w:type="dxa"/>
            <w:bottom w:w="0" w:type="dxa"/>
            <w:right w:w="0" w:type="dxa"/>
          </w:tblCellMar>
        </w:tblPrEx>
        <w:trPr>
          <w:trHeight w:val="1418" w:hRule="atLeast"/>
          <w:jc w:val="center"/>
        </w:trPr>
        <w:tc>
          <w:tcPr>
            <w:tcW w:w="35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eastAsia" w:ascii="Times New Roman" w:hAnsi="Times New Roman" w:eastAsia="方正仿宋_GBK" w:cs="Times New Roman"/>
                <w:color w:val="000000"/>
                <w:kern w:val="0"/>
                <w:sz w:val="18"/>
                <w:szCs w:val="18"/>
                <w:lang w:val="en-US" w:eastAsia="zh-CN"/>
              </w:rPr>
              <w:t>7</w:t>
            </w:r>
          </w:p>
        </w:tc>
        <w:tc>
          <w:tcPr>
            <w:tcW w:w="310"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457"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6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rPr>
            </w:pPr>
            <w:r>
              <w:rPr>
                <w:rFonts w:hint="default" w:ascii="Times New Roman" w:hAnsi="Times New Roman" w:eastAsia="方正仿宋_GBK" w:cs="Times New Roman"/>
                <w:color w:val="000000"/>
                <w:kern w:val="0"/>
                <w:sz w:val="18"/>
                <w:szCs w:val="18"/>
              </w:rPr>
              <w:t>农村危房改造资金补助标准</w:t>
            </w:r>
          </w:p>
        </w:tc>
        <w:tc>
          <w:tcPr>
            <w:tcW w:w="131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农村危房改造资金补助标准</w:t>
            </w:r>
          </w:p>
        </w:tc>
        <w:tc>
          <w:tcPr>
            <w:tcW w:w="3736"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left"/>
              <w:rPr>
                <w:rFonts w:hint="default" w:ascii="Times New Roman" w:hAnsi="Times New Roman" w:eastAsia="方正仿宋_GBK" w:cs="Times New Roman"/>
                <w:color w:val="000000"/>
                <w:sz w:val="18"/>
                <w:szCs w:val="18"/>
              </w:rPr>
            </w:pPr>
          </w:p>
        </w:tc>
        <w:tc>
          <w:tcPr>
            <w:tcW w:w="9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信息形成之日起20个工作日内</w:t>
            </w:r>
          </w:p>
        </w:tc>
        <w:tc>
          <w:tcPr>
            <w:tcW w:w="97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lang w:eastAsia="zh-CN"/>
              </w:rPr>
              <w:t>区财政局、区住房城乡建委、</w:t>
            </w:r>
            <w:r>
              <w:rPr>
                <w:rFonts w:hint="eastAsia" w:ascii="Times New Roman" w:hAnsi="Times New Roman" w:eastAsia="方正仿宋_GBK" w:cs="Times New Roman"/>
                <w:color w:val="000000"/>
                <w:kern w:val="0"/>
                <w:sz w:val="18"/>
                <w:szCs w:val="18"/>
                <w:lang w:val="en-US" w:eastAsia="zh-CN"/>
              </w:rPr>
              <w:t>金洞乡人民政府</w:t>
            </w:r>
          </w:p>
        </w:tc>
        <w:tc>
          <w:tcPr>
            <w:tcW w:w="317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sym w:font="Wingdings 2" w:char="00A3"/>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rPr>
            </w:pP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rPr>
            </w:pPr>
          </w:p>
        </w:tc>
        <w:tc>
          <w:tcPr>
            <w:tcW w:w="58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50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rPr>
            </w:pPr>
            <w:r>
              <w:rPr>
                <w:rFonts w:hint="default" w:ascii="Times New Roman" w:hAnsi="Times New Roman" w:eastAsia="方正仿宋_GBK" w:cs="Times New Roman"/>
                <w:color w:val="000000"/>
                <w:kern w:val="0"/>
                <w:sz w:val="18"/>
                <w:szCs w:val="18"/>
              </w:rPr>
              <w:t>√</w:t>
            </w:r>
          </w:p>
        </w:tc>
      </w:tr>
      <w:tr>
        <w:tblPrEx>
          <w:tblCellMar>
            <w:top w:w="0" w:type="dxa"/>
            <w:left w:w="0" w:type="dxa"/>
            <w:bottom w:w="0" w:type="dxa"/>
            <w:right w:w="0" w:type="dxa"/>
          </w:tblCellMar>
        </w:tblPrEx>
        <w:trPr>
          <w:trHeight w:val="1378" w:hRule="atLeast"/>
          <w:jc w:val="center"/>
        </w:trPr>
        <w:tc>
          <w:tcPr>
            <w:tcW w:w="35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eastAsia" w:ascii="Times New Roman" w:hAnsi="Times New Roman" w:eastAsia="方正仿宋_GBK" w:cs="Times New Roman"/>
                <w:color w:val="000000"/>
                <w:kern w:val="0"/>
                <w:sz w:val="18"/>
                <w:szCs w:val="18"/>
                <w:lang w:val="en-US" w:eastAsia="zh-CN"/>
              </w:rPr>
              <w:t>8</w:t>
            </w:r>
          </w:p>
        </w:tc>
        <w:tc>
          <w:tcPr>
            <w:tcW w:w="310"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after="180"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管理</w:t>
            </w:r>
          </w:p>
        </w:tc>
        <w:tc>
          <w:tcPr>
            <w:tcW w:w="457"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条件与标准</w:t>
            </w:r>
          </w:p>
        </w:tc>
        <w:tc>
          <w:tcPr>
            <w:tcW w:w="6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农村危房改造竣工合格标准</w:t>
            </w:r>
          </w:p>
        </w:tc>
        <w:tc>
          <w:tcPr>
            <w:tcW w:w="131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农村危房改造竣工验收要求</w:t>
            </w:r>
          </w:p>
        </w:tc>
        <w:tc>
          <w:tcPr>
            <w:tcW w:w="3736"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《住房城乡建设部 财政部关于印发农村危房改造脱贫攻坚三年行动方案的通知》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《住房城乡建设部 财政部 国务院扶贫办关于加强建档立卡贫困户等重点对象危房改造工作的指导意见》</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《住房城乡建设部 财政部 国务院扶贫办关于加强和完善建档立卡贫困户等重点对象农村危房改造若干问题的通知》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《重庆市住房和城乡建设委员会关于进一步规范农村危房改造工作的通知》等</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《重庆市住房和城乡建设委员会关于印发〈重庆市农村住房安全性鉴定技术导则〉的通知》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《重庆市人民政府关于加快全市农村危房改造的实施意见》等</w:t>
            </w:r>
          </w:p>
        </w:tc>
        <w:tc>
          <w:tcPr>
            <w:tcW w:w="9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信息形成之日起20个工作日内</w:t>
            </w:r>
          </w:p>
        </w:tc>
        <w:tc>
          <w:tcPr>
            <w:tcW w:w="97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lang w:eastAsia="zh-CN"/>
              </w:rPr>
            </w:pPr>
            <w:r>
              <w:rPr>
                <w:rFonts w:hint="default" w:ascii="Times New Roman" w:hAnsi="Times New Roman" w:eastAsia="方正仿宋_GBK" w:cs="Times New Roman"/>
                <w:color w:val="000000"/>
                <w:kern w:val="0"/>
                <w:sz w:val="18"/>
                <w:szCs w:val="18"/>
                <w:lang w:eastAsia="zh-CN"/>
              </w:rPr>
              <w:t>区住房建委</w:t>
            </w:r>
            <w:r>
              <w:rPr>
                <w:rFonts w:hint="eastAsia" w:ascii="Times New Roman" w:hAnsi="Times New Roman" w:eastAsia="方正仿宋_GBK" w:cs="Times New Roman"/>
                <w:color w:val="000000"/>
                <w:kern w:val="0"/>
                <w:sz w:val="18"/>
                <w:szCs w:val="18"/>
                <w:lang w:eastAsia="zh-CN"/>
              </w:rPr>
              <w:t>、</w:t>
            </w:r>
            <w:r>
              <w:rPr>
                <w:rFonts w:hint="eastAsia" w:ascii="Times New Roman" w:hAnsi="Times New Roman" w:eastAsia="方正仿宋_GBK" w:cs="Times New Roman"/>
                <w:color w:val="000000"/>
                <w:kern w:val="0"/>
                <w:sz w:val="18"/>
                <w:szCs w:val="18"/>
                <w:lang w:val="en-US" w:eastAsia="zh-CN"/>
              </w:rPr>
              <w:t>金洞乡人民政府</w:t>
            </w:r>
          </w:p>
        </w:tc>
        <w:tc>
          <w:tcPr>
            <w:tcW w:w="317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sym w:font="Wingdings 2" w:char="00A3"/>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8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50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r>
      <w:tr>
        <w:tblPrEx>
          <w:tblCellMar>
            <w:top w:w="0" w:type="dxa"/>
            <w:left w:w="0" w:type="dxa"/>
            <w:bottom w:w="0" w:type="dxa"/>
            <w:right w:w="0" w:type="dxa"/>
          </w:tblCellMar>
        </w:tblPrEx>
        <w:trPr>
          <w:trHeight w:val="1418" w:hRule="atLeast"/>
          <w:jc w:val="center"/>
        </w:trPr>
        <w:tc>
          <w:tcPr>
            <w:tcW w:w="35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eastAsia" w:ascii="Times New Roman" w:hAnsi="Times New Roman" w:eastAsia="方正仿宋_GBK" w:cs="Times New Roman"/>
                <w:color w:val="000000"/>
                <w:kern w:val="0"/>
                <w:sz w:val="18"/>
                <w:szCs w:val="18"/>
                <w:lang w:val="en-US" w:eastAsia="zh-CN"/>
              </w:rPr>
              <w:t>9</w:t>
            </w:r>
          </w:p>
        </w:tc>
        <w:tc>
          <w:tcPr>
            <w:tcW w:w="310"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457"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kern w:val="0"/>
                <w:sz w:val="18"/>
                <w:szCs w:val="18"/>
              </w:rPr>
            </w:pPr>
            <w:r>
              <w:rPr>
                <w:rFonts w:hint="default" w:ascii="Times New Roman" w:hAnsi="Times New Roman" w:eastAsia="方正仿宋_GBK" w:cs="Times New Roman"/>
                <w:color w:val="000000"/>
                <w:kern w:val="0"/>
                <w:sz w:val="18"/>
                <w:szCs w:val="18"/>
              </w:rPr>
              <w:t>对象</w:t>
            </w:r>
          </w:p>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认定</w:t>
            </w:r>
          </w:p>
        </w:tc>
        <w:tc>
          <w:tcPr>
            <w:tcW w:w="6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危改户认定程序</w:t>
            </w:r>
          </w:p>
        </w:tc>
        <w:tc>
          <w:tcPr>
            <w:tcW w:w="131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农村危房改造申请程序</w:t>
            </w:r>
          </w:p>
        </w:tc>
        <w:tc>
          <w:tcPr>
            <w:tcW w:w="3736"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left"/>
              <w:rPr>
                <w:rFonts w:hint="default" w:ascii="Times New Roman" w:hAnsi="Times New Roman" w:eastAsia="方正仿宋_GBK" w:cs="Times New Roman"/>
                <w:color w:val="000000"/>
                <w:sz w:val="18"/>
                <w:szCs w:val="18"/>
              </w:rPr>
            </w:pPr>
          </w:p>
        </w:tc>
        <w:tc>
          <w:tcPr>
            <w:tcW w:w="9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信息形成之日起20个工作日内</w:t>
            </w:r>
          </w:p>
        </w:tc>
        <w:tc>
          <w:tcPr>
            <w:tcW w:w="97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lang w:eastAsia="zh-CN"/>
              </w:rPr>
            </w:pPr>
            <w:r>
              <w:rPr>
                <w:rFonts w:hint="default" w:ascii="Times New Roman" w:hAnsi="Times New Roman" w:eastAsia="方正仿宋_GBK" w:cs="Times New Roman"/>
                <w:color w:val="000000"/>
                <w:kern w:val="0"/>
                <w:sz w:val="18"/>
                <w:szCs w:val="18"/>
                <w:lang w:eastAsia="zh-CN"/>
              </w:rPr>
              <w:t>区住房城乡建委、</w:t>
            </w:r>
            <w:r>
              <w:rPr>
                <w:rFonts w:hint="eastAsia" w:ascii="Times New Roman" w:hAnsi="Times New Roman" w:eastAsia="方正仿宋_GBK" w:cs="Times New Roman"/>
                <w:color w:val="000000"/>
                <w:kern w:val="0"/>
                <w:sz w:val="18"/>
                <w:szCs w:val="18"/>
                <w:lang w:val="en-US" w:eastAsia="zh-CN"/>
              </w:rPr>
              <w:t>金洞乡人民政府</w:t>
            </w:r>
            <w:r>
              <w:rPr>
                <w:rFonts w:hint="default" w:ascii="Times New Roman" w:hAnsi="Times New Roman" w:eastAsia="方正仿宋_GBK" w:cs="Times New Roman"/>
                <w:color w:val="000000"/>
                <w:kern w:val="0"/>
                <w:sz w:val="18"/>
                <w:szCs w:val="18"/>
                <w:lang w:eastAsia="zh-CN"/>
              </w:rPr>
              <w:t>、村（居）委会</w:t>
            </w:r>
          </w:p>
        </w:tc>
        <w:tc>
          <w:tcPr>
            <w:tcW w:w="317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sym w:font="Wingdings 2" w:char="00A3"/>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8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50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r>
      <w:tr>
        <w:tblPrEx>
          <w:tblCellMar>
            <w:top w:w="0" w:type="dxa"/>
            <w:left w:w="0" w:type="dxa"/>
            <w:bottom w:w="0" w:type="dxa"/>
            <w:right w:w="0" w:type="dxa"/>
          </w:tblCellMar>
        </w:tblPrEx>
        <w:trPr>
          <w:trHeight w:val="1114" w:hRule="atLeast"/>
          <w:jc w:val="center"/>
        </w:trPr>
        <w:tc>
          <w:tcPr>
            <w:tcW w:w="35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仿宋_GBK" w:cs="Times New Roman"/>
                <w:color w:val="000000"/>
                <w:sz w:val="18"/>
                <w:szCs w:val="18"/>
                <w:lang w:eastAsia="zh-CN"/>
              </w:rPr>
            </w:pPr>
            <w:r>
              <w:rPr>
                <w:rFonts w:hint="default" w:ascii="Times New Roman" w:hAnsi="Times New Roman" w:eastAsia="方正仿宋_GBK" w:cs="Times New Roman"/>
                <w:color w:val="000000"/>
                <w:kern w:val="0"/>
                <w:sz w:val="18"/>
                <w:szCs w:val="18"/>
              </w:rPr>
              <w:t>1</w:t>
            </w:r>
            <w:r>
              <w:rPr>
                <w:rFonts w:hint="eastAsia" w:ascii="Times New Roman" w:hAnsi="Times New Roman" w:eastAsia="方正仿宋_GBK" w:cs="Times New Roman"/>
                <w:color w:val="000000"/>
                <w:kern w:val="0"/>
                <w:sz w:val="18"/>
                <w:szCs w:val="18"/>
                <w:lang w:val="en-US" w:eastAsia="zh-CN"/>
              </w:rPr>
              <w:t>0</w:t>
            </w:r>
          </w:p>
        </w:tc>
        <w:tc>
          <w:tcPr>
            <w:tcW w:w="310"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457"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67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认定结果</w:t>
            </w:r>
          </w:p>
        </w:tc>
        <w:tc>
          <w:tcPr>
            <w:tcW w:w="131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认定结果</w:t>
            </w:r>
          </w:p>
        </w:tc>
        <w:tc>
          <w:tcPr>
            <w:tcW w:w="3736" w:type="dxa"/>
            <w:vMerge w:val="continue"/>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left"/>
              <w:rPr>
                <w:rFonts w:hint="default" w:ascii="Times New Roman" w:hAnsi="Times New Roman" w:eastAsia="方正仿宋_GBK" w:cs="Times New Roman"/>
                <w:color w:val="000000"/>
                <w:sz w:val="18"/>
                <w:szCs w:val="18"/>
              </w:rPr>
            </w:pPr>
          </w:p>
        </w:tc>
        <w:tc>
          <w:tcPr>
            <w:tcW w:w="9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信息形成之日起20个工作日内</w:t>
            </w:r>
          </w:p>
        </w:tc>
        <w:tc>
          <w:tcPr>
            <w:tcW w:w="97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eastAsia" w:ascii="Times New Roman" w:hAnsi="Times New Roman" w:eastAsia="方正仿宋_GBK" w:cs="Times New Roman"/>
                <w:color w:val="000000"/>
                <w:kern w:val="0"/>
                <w:sz w:val="18"/>
                <w:szCs w:val="18"/>
                <w:lang w:val="en-US" w:eastAsia="zh-CN"/>
              </w:rPr>
              <w:t>金洞乡人民政府</w:t>
            </w:r>
            <w:r>
              <w:rPr>
                <w:rFonts w:hint="default" w:ascii="Times New Roman" w:hAnsi="Times New Roman" w:eastAsia="方正仿宋_GBK" w:cs="Times New Roman"/>
                <w:color w:val="000000"/>
                <w:kern w:val="0"/>
                <w:sz w:val="18"/>
                <w:szCs w:val="18"/>
                <w:lang w:eastAsia="zh-CN"/>
              </w:rPr>
              <w:t>、</w:t>
            </w:r>
            <w:r>
              <w:rPr>
                <w:rFonts w:hint="default" w:ascii="Times New Roman" w:hAnsi="Times New Roman" w:eastAsia="方正仿宋_GBK" w:cs="Times New Roman"/>
                <w:color w:val="000000"/>
                <w:kern w:val="0"/>
                <w:sz w:val="18"/>
                <w:szCs w:val="18"/>
              </w:rPr>
              <w:t>村</w:t>
            </w:r>
            <w:r>
              <w:rPr>
                <w:rFonts w:hint="default" w:ascii="Times New Roman" w:hAnsi="Times New Roman" w:eastAsia="方正仿宋_GBK" w:cs="Times New Roman"/>
                <w:color w:val="000000"/>
                <w:kern w:val="0"/>
                <w:sz w:val="18"/>
                <w:szCs w:val="18"/>
                <w:lang w:eastAsia="zh-CN"/>
              </w:rPr>
              <w:t>（居）</w:t>
            </w:r>
            <w:r>
              <w:rPr>
                <w:rFonts w:hint="default" w:ascii="Times New Roman" w:hAnsi="Times New Roman" w:eastAsia="方正仿宋_GBK" w:cs="Times New Roman"/>
                <w:color w:val="000000"/>
                <w:kern w:val="0"/>
                <w:sz w:val="18"/>
                <w:szCs w:val="18"/>
              </w:rPr>
              <w:t>委会</w:t>
            </w:r>
          </w:p>
        </w:tc>
        <w:tc>
          <w:tcPr>
            <w:tcW w:w="317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■政府网站      □政府公报</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 xml:space="preserve">□两微一端      □发布会/听证会 </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□广播电视      □纸质媒体</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□公开查阅点    □政务服务中心</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□便民服务站    □入户/现场</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■社区/企事业单位/村公示栏（电子屏）</w:t>
            </w:r>
            <w:r>
              <w:rPr>
                <w:rFonts w:hint="default" w:ascii="Times New Roman" w:hAnsi="Times New Roman" w:eastAsia="方正仿宋_GBK" w:cs="Times New Roman"/>
                <w:color w:val="000000"/>
                <w:kern w:val="0"/>
                <w:sz w:val="18"/>
                <w:szCs w:val="18"/>
              </w:rPr>
              <w:br w:type="textWrapping"/>
            </w:r>
            <w:r>
              <w:rPr>
                <w:rFonts w:hint="default" w:ascii="Times New Roman" w:hAnsi="Times New Roman" w:eastAsia="方正仿宋_GBK" w:cs="Times New Roman"/>
                <w:color w:val="000000"/>
                <w:kern w:val="0"/>
                <w:sz w:val="18"/>
                <w:szCs w:val="18"/>
              </w:rPr>
              <w:t>□精准推送      □其他_</w:t>
            </w: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45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1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c>
          <w:tcPr>
            <w:tcW w:w="6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8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Times New Roman" w:hAnsi="Times New Roman" w:eastAsia="方正仿宋_GBK" w:cs="Times New Roman"/>
                <w:color w:val="000000"/>
                <w:sz w:val="18"/>
                <w:szCs w:val="18"/>
              </w:rPr>
            </w:pPr>
          </w:p>
        </w:tc>
        <w:tc>
          <w:tcPr>
            <w:tcW w:w="50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kern w:val="0"/>
                <w:sz w:val="18"/>
                <w:szCs w:val="18"/>
              </w:rPr>
              <w:t>√</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FreeSans"/>
    <w:panose1 w:val="020B05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ans">
    <w:panose1 w:val="020B0504020202020204"/>
    <w:charset w:val="00"/>
    <w:family w:val="auto"/>
    <w:pitch w:val="default"/>
    <w:sig w:usb0="E4839EFF" w:usb1="4600FDFF" w:usb2="000030A0" w:usb3="00000584" w:csb0="600001BF" w:csb1="DF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84F6C"/>
    <w:rsid w:val="004C7BDC"/>
    <w:rsid w:val="00526A6A"/>
    <w:rsid w:val="00534C75"/>
    <w:rsid w:val="005F75F4"/>
    <w:rsid w:val="00605321"/>
    <w:rsid w:val="00A1126C"/>
    <w:rsid w:val="084F2828"/>
    <w:rsid w:val="11885704"/>
    <w:rsid w:val="21240B39"/>
    <w:rsid w:val="37BB7AF3"/>
    <w:rsid w:val="3BF95E3D"/>
    <w:rsid w:val="4C545599"/>
    <w:rsid w:val="4FF319A4"/>
    <w:rsid w:val="60484F6C"/>
    <w:rsid w:val="606F37A0"/>
    <w:rsid w:val="6761378A"/>
    <w:rsid w:val="777364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ind w:left="100" w:leftChars="100" w:right="100" w:rightChars="100"/>
    </w:pPr>
    <w:rPr>
      <w:rFonts w:eastAsia="宋体" w:cs="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0"/>
    <w:rPr>
      <w:rFonts w:asciiTheme="minorHAnsi" w:hAnsiTheme="minorHAnsi" w:eastAsiaTheme="minorEastAsia" w:cstheme="minorBidi"/>
      <w:kern w:val="2"/>
      <w:sz w:val="18"/>
      <w:szCs w:val="18"/>
    </w:rPr>
  </w:style>
  <w:style w:type="character" w:customStyle="1" w:styleId="10">
    <w:name w:val="页脚 Char"/>
    <w:basedOn w:val="8"/>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462</Words>
  <Characters>2634</Characters>
  <Lines>21</Lines>
  <Paragraphs>6</Paragraphs>
  <TotalTime>2</TotalTime>
  <ScaleCrop>false</ScaleCrop>
  <LinksUpToDate>false</LinksUpToDate>
  <CharactersWithSpaces>3090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2020-11-05T21:20:00Z</dcterms:created>
  <dc:creator>2018，脚脚痊愈。</dc:creator>
  <cp:lastModifiedBy>kylin</cp:lastModifiedBy>
  <dcterms:modified xsi:type="dcterms:W3CDTF">2024-01-03T15:44:10Z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396155982_cloud</vt:lpwstr>
  </property>
</Properties>
</file>