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微软雅黑" w:cs="Times New Roman"/>
          <w:kern w:val="1"/>
          <w:sz w:val="32"/>
          <w:szCs w:val="32"/>
          <w:lang w:val="e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微软雅黑" w:cs="Times New Roman"/>
          <w:kern w:val="1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微软雅黑" w:cs="Times New Roman"/>
          <w:kern w:val="1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微软雅黑" w:cs="Times New Roman"/>
          <w:kern w:val="1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微软雅黑" w:cs="Times New Roman"/>
          <w:kern w:val="1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微软雅黑" w:cs="Times New Roman"/>
          <w:kern w:val="1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微软雅黑" w:cs="Times New Roman"/>
          <w:kern w:val="1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320"/>
        <w:jc w:val="center"/>
        <w:textAlignment w:val="auto"/>
        <w:rPr>
          <w:rFonts w:hint="default" w:ascii="Times New Roman" w:hAnsi="Times New Roman" w:eastAsia="方正仿宋_GBK" w:cs="Times New Roman"/>
          <w:kern w:val="1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1"/>
          <w:sz w:val="32"/>
          <w:szCs w:val="32"/>
        </w:rPr>
        <w:t>石家府发〔</w:t>
      </w:r>
      <w:r>
        <w:rPr>
          <w:rFonts w:hint="default" w:ascii="Times New Roman" w:hAnsi="Times New Roman" w:eastAsia="方正仿宋_GBK" w:cs="Times New Roman"/>
          <w:kern w:val="1"/>
          <w:sz w:val="32"/>
          <w:szCs w:val="32"/>
          <w:lang w:eastAsia="zh-CN"/>
        </w:rPr>
        <w:t>202</w:t>
      </w:r>
      <w:r>
        <w:rPr>
          <w:rFonts w:hint="default" w:ascii="Times New Roman" w:hAnsi="Times New Roman" w:eastAsia="方正仿宋_GBK" w:cs="Times New Roman"/>
          <w:kern w:val="1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kern w:val="1"/>
          <w:sz w:val="32"/>
          <w:szCs w:val="32"/>
        </w:rPr>
        <w:t>〕</w:t>
      </w:r>
      <w:r>
        <w:rPr>
          <w:rFonts w:hint="default" w:ascii="Times New Roman" w:hAnsi="Times New Roman" w:eastAsia="方正仿宋_GBK" w:cs="Times New Roman"/>
          <w:kern w:val="1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kern w:val="1"/>
          <w:sz w:val="32"/>
          <w:szCs w:val="32"/>
        </w:rPr>
        <w:t>号</w:t>
      </w:r>
    </w:p>
    <w:p>
      <w:pPr>
        <w:spacing w:line="594" w:lineRule="exact"/>
        <w:jc w:val="center"/>
        <w:rPr>
          <w:rFonts w:hint="default" w:ascii="Times New Roman" w:hAnsi="Times New Roman" w:eastAsia="方正小标宋_GBK" w:cs="Times New Roman"/>
          <w:sz w:val="32"/>
          <w:szCs w:val="32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spacing w:line="594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黔江区石家镇人民政府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spacing w:val="-6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pacing w:val="-6"/>
          <w:sz w:val="44"/>
          <w:szCs w:val="44"/>
        </w:rPr>
        <w:t>关于印发《</w:t>
      </w: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石家镇山洪灾害防御预案</w:t>
      </w:r>
      <w:r>
        <w:rPr>
          <w:rFonts w:hint="default" w:ascii="Times New Roman" w:hAnsi="Times New Roman" w:eastAsia="方正小标宋_GBK" w:cs="Times New Roman"/>
          <w:spacing w:val="-6"/>
          <w:sz w:val="44"/>
          <w:szCs w:val="44"/>
        </w:rPr>
        <w:t>》的通知</w:t>
      </w:r>
    </w:p>
    <w:p>
      <w:pPr>
        <w:spacing w:line="594" w:lineRule="exact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spacing w:line="594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各村（社区），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镇级各部门：</w:t>
      </w:r>
    </w:p>
    <w:p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现将《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石家镇山洪灾害防御预案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》印发给你们，请遵照执行。</w:t>
      </w:r>
    </w:p>
    <w:p>
      <w:pPr>
        <w:spacing w:line="594" w:lineRule="exact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spacing w:line="594" w:lineRule="exact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tabs>
          <w:tab w:val="left" w:pos="660"/>
          <w:tab w:val="left" w:pos="5724"/>
        </w:tabs>
        <w:wordWrap w:val="0"/>
        <w:spacing w:line="594" w:lineRule="exact"/>
        <w:ind w:right="420" w:rightChars="200"/>
        <w:jc w:val="righ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黔江区石家镇人民政府  </w:t>
      </w:r>
    </w:p>
    <w:p>
      <w:pPr>
        <w:spacing w:line="594" w:lineRule="exact"/>
        <w:ind w:firstLine="5440" w:firstLineChars="1700"/>
        <w:jc w:val="lef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2023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日  </w:t>
      </w:r>
    </w:p>
    <w:p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石家镇山洪灾害防御预案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为了做好山洪灾害突发事件的防范与处置工作，使山洪灾害处于可控状态，最大程度地减少人员伤亡和财产损失，依据《中华人民共和国水法》、《中华人民共和国防洪法》、《中华人民共和国水土保持法》、《地质灾害防治条例》、《河道管理条例》、《水库大坝安全管理条例》、国家防总《山洪灾害预案编制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大纲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》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法律法规及规定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结合我镇实际，特制定本防御预案。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基本情况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石家镇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全镇辖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个行政村和1个社区居委会，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"/>
        </w:rPr>
        <w:t>辖区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面积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104平方公里，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全镇共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10条河流，33个山坪塘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工作原则和目标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Chars="200"/>
        <w:textAlignment w:val="auto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工作原则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坚持科学发展观，坚持以人为本，将群众生命财产安全放在第一位，把河道沿岸塘库四周有居民居住和人口集中活动场所作为防御重点。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坚持贯彻“安全第一，常备不懈，以防为主，全力抢险”的方针，坚持防、抢、救相结合；实行行政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领导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负责制、分级管理责任制。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坚持群防群治，建立健全工作网络，把工作延伸至最基层，提高全民防灾减灾意识，调动全社会防灾减灾的积极性。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坚持标本兼治，在加强水利基础设施建设的同时，提高预测、预报、预防山洪灾害的能力。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坚持科学防洪、依法防治、合理调度，最大限度地减少灾害损失。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（二）工作目标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本预案所追求的主要目标是“以人为本”，最大限度地避免或减少人员伤亡，减轻财产损失。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遇一般洪水，群众重要财产（现金、贵重物品等）不受损失，遇己知历史最大以下洪水，确保全镇不因山洪灾害而造成大的财产损失及人员死亡。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Chars="200" w:firstLine="320" w:firstLineChars="1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黑体_GBK" w:cs="Times New Roman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组织指挥体系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进一步健全和落实行政领导山洪危险区责任制。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为确保我镇人民生命、财产安全，成立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石家镇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防汛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办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。镇长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张永洲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任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组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长，分管领导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罗小兵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任副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组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长，镇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农业服务中心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、镇党政办、镇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卫健办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、镇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应急办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等为成员，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防汛办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下设办公室于镇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农业服务中心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，根据我镇实际情况，全镇共有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5个山洪危险区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，每个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危险区都公示责任人，确保山洪灾害顺利转移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</w:t>
      </w:r>
    </w:p>
    <w:p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225" w:afterAutospacing="0" w:line="596" w:lineRule="exact"/>
        <w:ind w:righ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（二）交溪村山洪灾害危险区</w:t>
      </w:r>
    </w:p>
    <w:p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225" w:afterAutospacing="0" w:line="596" w:lineRule="exact"/>
        <w:ind w:left="0" w:right="0" w:firstLine="1280" w:firstLineChars="4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预警转移责任人：陈建新</w:t>
      </w:r>
    </w:p>
    <w:p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225" w:afterAutospacing="0" w:line="596" w:lineRule="exact"/>
        <w:ind w:left="0" w:right="0" w:firstLine="1280" w:firstLineChars="4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转移路线：三岔河沿石鹅路至石家集镇</w:t>
      </w:r>
    </w:p>
    <w:p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225" w:afterAutospacing="0" w:line="596" w:lineRule="exact"/>
        <w:ind w:left="0" w:right="0" w:firstLine="1280" w:firstLineChars="4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转移安置点：石家集镇祥和广场</w:t>
      </w:r>
    </w:p>
    <w:p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225" w:afterAutospacing="0" w:line="596" w:lineRule="exact"/>
        <w:ind w:righ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（三）清塘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村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山洪灾害危险区</w:t>
      </w:r>
    </w:p>
    <w:p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225" w:afterAutospacing="0" w:line="596" w:lineRule="exact"/>
        <w:ind w:left="0" w:right="0" w:firstLine="1280" w:firstLineChars="4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预警转移责任人：周显中</w:t>
      </w:r>
    </w:p>
    <w:p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225" w:afterAutospacing="0" w:line="596" w:lineRule="exact"/>
        <w:ind w:left="0" w:right="0" w:firstLine="1280" w:firstLineChars="4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转移路线：渗坝场沿龙门垭公路至鱼田村龙门垭</w:t>
      </w:r>
    </w:p>
    <w:p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225" w:afterAutospacing="0" w:line="596" w:lineRule="exact"/>
        <w:ind w:left="0" w:right="0" w:firstLine="1280" w:firstLineChars="4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转移安置点：鱼田村龙门垭</w:t>
      </w:r>
    </w:p>
    <w:p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225" w:afterAutospacing="0" w:line="596" w:lineRule="exact"/>
        <w:ind w:righ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（四）渗坝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村山洪灾害危险区</w:t>
      </w:r>
    </w:p>
    <w:p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225" w:afterAutospacing="0" w:line="596" w:lineRule="exact"/>
        <w:ind w:left="0" w:right="0" w:firstLine="1280" w:firstLineChars="4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预警转移责任人：倪辉</w:t>
      </w:r>
    </w:p>
    <w:p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225" w:afterAutospacing="0" w:line="596" w:lineRule="exact"/>
        <w:ind w:left="0" w:right="0" w:firstLine="1280" w:firstLineChars="4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转移路线：沿村道路转移至村委活动室</w:t>
      </w:r>
    </w:p>
    <w:p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225" w:afterAutospacing="0" w:line="596" w:lineRule="exact"/>
        <w:ind w:left="0" w:right="0" w:firstLine="1280" w:firstLineChars="4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转移安置点：村委活动室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各村（社区）联系领导对所联系的村辖区内的河段、塘库防汛工作负责。镇防汛抗旱领导小组对全镇河流、塘库的防汛工作负总责，统一指挥、统一调度。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预报和决策程序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山洪灾害的预报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山洪灾害的防治预报分为三个等级状态，即：预警状态、警报状态和临灾警报状态。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2" w:firstLineChars="200"/>
        <w:jc w:val="left"/>
        <w:textAlignment w:val="auto"/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预警状态：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遭遇日降雨50mm～100mm暴雨时，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防汛办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应加强与气象局联系，密切注意天气变化，通知各有关村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社区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注意河流水位和洪水走势，及时向镇防汛办报告雨情、水情、工情。各有关村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社区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做好排涝准备工作。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遭遇日降雨100mm～200mm大暴雨时，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防汛办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将与区气象局保持密切联系，掌握雨情，通知各有关村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社区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加强河流洪水观察，密切注意河堤险工险段并有专人负责，同时各有关村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社区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做好排涝工作，通知低洼区群众和企事业单位，及时转移财产。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遭遇日降雨200mm以上特大暴雨时，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防汛办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会同各有关成员单位及有关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村（社区）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负责协商抗洪抢险的准备工作，制定应急措施。河流险工险段及塘库要求有专人24小时值班，并保持2小时内通报一次，如有特殊情况，及时报告镇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防汛办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。各有关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村（社区）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组织当地群众做好排涝排洪，并通知低洼区和危险区群众和企事业单位及时转移财产，并安置转移群众的生活。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2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警报状态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：当进入预警状态，中到大雨仍在继续，洪水接近警戒水位，山洪威胁、监测点</w:t>
      </w:r>
      <w:r>
        <w:rPr>
          <w:rFonts w:hint="default" w:ascii="Times New Roman" w:hAnsi="Times New Roman" w:eastAsia="方正仿宋_GBK" w:cs="Times New Roman"/>
          <w:sz w:val="32"/>
          <w:szCs w:val="32"/>
          <w:lang w:val="en"/>
        </w:rPr>
        <w:t>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好人员撤离准备。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2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临灾警报状态：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进入警报状态，在降雨过程中或降雨后，河道、塘库洪水超警戒水位，且水位仍在上涨，山洪威胁、监测点进行撤离。进入预警状态后，要加强监测，预警员按规定及时将有关情况上报镇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防汛办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420" w:leftChars="200" w:firstLine="0" w:firstLineChars="0"/>
        <w:jc w:val="left"/>
        <w:textAlignment w:val="auto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山洪灾害的预警决策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警报状态由镇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防汛办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综合各村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社区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预警员雨量信息确定，并报区防汛抗旱指挥部，出现紧急情况无法联络时，警报状态决策权逐级下放，并尽最大可能报上级防汛部门。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left"/>
        <w:textAlignment w:val="auto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（三）山洪灾害预警行动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（1）凡可能遭受山洪灾害威胁的地方，应根据山洪灾害的成因和特点，主动采取预防和避险措施。镇有关部门应密切联系，相互配合，实现信息共享，提高预报水平，及时发布预报警报。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2）凡有山洪灾害的地方指挥部将组织国土、水利、农业等部门编制山洪灾害防御预案，绘制区域内山洪灾害风险图，划分并确定区域内易发生山洪灾害的地点及范围，制订安全转移方案，明确组织机构的设置及职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（3）山洪灾害易发区应建立专业监测与群测群防相结合的监测体系，落实观测措施，汛期坚持24小时值班巡逻制度，降雨期间，加密观测、加强巡逻。全镇各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村（社区）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组织相关单位都要落实信号发送员，一旦发现危险征兆，立即向周边群众报警，实现快速转移，并报镇防汛抗旱指挥机构，以便及时组织抗灾救灾。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（四）雨渍涝预警行动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当气象预报将出现较大降雨时，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防汛办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应按照分级负责原则，确定渍涝灾害预警区域、级别、按照权限向社会发布，并做好排涝的有关准备工作。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应急措施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2" w:firstLineChars="200"/>
        <w:textAlignment w:val="auto"/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警戒水位划定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以各山洪威胁、监测点为单位，每一山洪威胁、监测点划定一个警戒水位，警戒水位划定采用两种办法：一是各山洪威胁、监测点居民起始受淹线下1.0米，二是己知历史最高水位下1.0米，取两者水位较低值作为警戒水位。在各山洪威胁、监测点建一处固定标志，设立水尺，划定警戒水位。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642" w:firstLineChars="200"/>
        <w:textAlignment w:val="auto"/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应对措施和方案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预警状态：得到预警状态预报后，镇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防汛办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应立即召开应急防范会议，通报险情，领导小组安排人员值班，做好应急防范的准备工作。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警报状态：得到警报状态预报后，召开镇防汛抗旱领导小组全体会议，部署有关工作，决定应急防范搬迁方案，检查各部门责任人的到岗情况，领导小组安排专人24小时值班，及时通报险情及准备工作进展情况，发现问题及时解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临灾警报状态：接到临灾警报状态预报后，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防汛办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发布紧急搬迁令。并通过各种通讯方法传达到各个部门和全体临灾区居民；各村（社区）、各部门、单位、住户接到命令后，应服从指挥，在规定的时间内，按规定线路有条不紊地撤离到安全区；由公安派出所干警和机关干部组成巡逻小分队，逐家逐户检查撤离情况，督促村民迅速撤离；村民全部撤离后，巡逻小分队应设立警戒封锁线，禁止人员进入险区；当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防汛办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发布警报解除令后，撤离人员在统一指挥下，有秩序地返回住地，并做好善后清查登记工作。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642" w:firstLineChars="200"/>
        <w:textAlignment w:val="auto"/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人员转移安置方案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要求各山洪威胁、监测点要确定附近地势较高的安全区或居民点作为转移点，若附近无安全区应提前</w:t>
      </w:r>
      <w:r>
        <w:rPr>
          <w:rFonts w:hint="default" w:ascii="Times New Roman" w:hAnsi="Times New Roman" w:eastAsia="方正仿宋_GBK" w:cs="Times New Roman"/>
          <w:sz w:val="32"/>
          <w:szCs w:val="32"/>
          <w:lang w:val="en"/>
        </w:rPr>
        <w:t>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好撤离准备。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当启动搬迁预案时，镇属单位的人员以单位为小组，各单位负责将本单位的人员（包括外业人员）撤离。各山洪威胁、监测点以点为小组，由各山洪威胁、监测点镇村干部负责，将本组的居民撤离到安全地带。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抢险救灾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各村（社区）要普及山洪灾害防御的基本知识，增强群众的防灾意识。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汛前各级要落实抢险救灾的物资、资金准备。包括人员组织、物资调拨、车辆调配和救护等。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一旦发生险情，及时向镇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防汛办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报告，各村应急抢险队投入抢险救灾，确保群众的生命安全，尽量减少财产损失。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对可能造成新的危害的山体、建筑物等，村社要安排专人监测、防御。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发生灾情，首先要把被困人员迅速转移到安全地带，如有人畜伤亡，要及时抢救受伤人员，对紧急转移的人员要做好临时安置，发放粮食、衣物，搞好灾区卫生防疫工作，同时迅速组织力量抢修水、电、路、通信等基础设施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责任追究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全面落实防汛责任制，各村各单位要明确责任人，落实各项责任制，严格履行职责，切实担负起防灾责任。有关单位和人员坚决服从防灾需要，严格执行上级下达的命令。对玩忽职守者，不及时采取措施造成严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</w:rPr>
        <w:t>重后果者，给予纪律处分，构成犯罪的，依法追究刑事责任。</w:t>
      </w:r>
    </w:p>
    <w:p>
      <w:pPr>
        <w:numPr>
          <w:ilvl w:val="0"/>
          <w:numId w:val="0"/>
        </w:numPr>
        <w:topLinePunct/>
        <w:spacing w:line="560" w:lineRule="exact"/>
        <w:ind w:firstLine="1400" w:firstLineChars="500"/>
        <w:jc w:val="both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topLinePunct/>
        <w:spacing w:line="560" w:lineRule="exact"/>
        <w:jc w:val="both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pStyle w:val="5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5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5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5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5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5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5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5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5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5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5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5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5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5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5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5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5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5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5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5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5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5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5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5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5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5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5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5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5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5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94" w:lineRule="exact"/>
        <w:ind w:firstLine="280" w:firstLineChars="1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46355</wp:posOffset>
                </wp:positionV>
                <wp:extent cx="5652135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5213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直接连接符 2" o:spid="_x0000_s1026" o:spt="20" style="position:absolute;left:0pt;margin-left:-0.75pt;margin-top:3.65pt;height:0pt;width:445.05pt;z-index:251660288;mso-width-relative:page;mso-height-relative:page;" filled="f" stroked="t" coordsize="21600,21600" o:gfxdata="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WAAAAZHJzL1BLAQIUABQAAAAIAIdO&#10;4kC3oqqM1AAAAAYBAAAPAAAAAAAAAAEAIAAAADgAAABkcnMvZG93bnJldi54bWxQSwECFAAUAAAA&#10;CACHTuJAJ6PzZNwBAACZAwAADgAAAAAAAAABACAAAAA5AQAAZHJzL2Uyb0RvYy54bWxQSwUGAAAA&#10;AAYABgBZAQAAhw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方正仿宋_GBK" w:cs="Times New Roman"/>
          <w:sz w:val="28"/>
          <w:szCs w:val="28"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405765</wp:posOffset>
                </wp:positionV>
                <wp:extent cx="5652135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52135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直接连接符 1" o:spid="_x0000_s1026" o:spt="20" style="position:absolute;left:0pt;margin-left:0pt;margin-top:31.95pt;height:0pt;width:445.05pt;z-index:251659264;mso-width-relative:page;mso-height-relative:page;" filled="f" stroked="t" coordsize="21600,21600" o:gfxdata="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WAAAAZHJzL1BLAQIUABQAAAAI&#10;AIdO4kB78lWF1gAAAAYBAAAPAAAAAAAAAAEAIAAAADgAAABkcnMvZG93bnJldi54bWxQSwECFAAU&#10;AAAACACHTuJA2CI0Pt0BAACaAwAADgAAAAAAAAABACAAAAA7AQAAZHJzL2Uyb0RvYy54bWxQSwUG&#10;AAAAAAYABgBZAQAAig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方正仿宋_GBK" w:cs="Times New Roman"/>
          <w:sz w:val="28"/>
          <w:szCs w:val="28"/>
          <w:lang w:eastAsia="zh-CN"/>
        </w:rPr>
        <w:t xml:space="preserve">黔江区石家镇人民政府       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28"/>
          <w:szCs w:val="28"/>
          <w:lang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 xml:space="preserve">       </w:t>
      </w:r>
      <w:r>
        <w:rPr>
          <w:rFonts w:hint="default" w:ascii="Times New Roman" w:hAnsi="Times New Roman" w:eastAsia="方正仿宋_GBK" w:cs="Times New Roman"/>
          <w:sz w:val="28"/>
          <w:szCs w:val="28"/>
          <w:lang w:eastAsia="zh-CN"/>
        </w:rPr>
        <w:t xml:space="preserve"> 202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28"/>
          <w:szCs w:val="28"/>
          <w:lang w:eastAsia="zh-CN"/>
        </w:rPr>
        <w:t>年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28"/>
          <w:szCs w:val="28"/>
          <w:lang w:eastAsia="zh-CN"/>
        </w:rPr>
        <w:t>月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25</w:t>
      </w:r>
      <w:r>
        <w:rPr>
          <w:rFonts w:hint="default" w:ascii="Times New Roman" w:hAnsi="Times New Roman" w:eastAsia="方正仿宋_GBK" w:cs="Times New Roman"/>
          <w:sz w:val="28"/>
          <w:szCs w:val="28"/>
          <w:lang w:eastAsia="zh-CN"/>
        </w:rPr>
        <w:t>日印发</w:t>
      </w:r>
    </w:p>
    <w:sectPr>
      <w:footerReference r:id="rId3" w:type="default"/>
      <w:pgSz w:w="11906" w:h="16838"/>
      <w:pgMar w:top="1984" w:right="1446" w:bottom="1644" w:left="1446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">
    <w:altName w:val="Times New Roman"/>
    <w:panose1 w:val="020B0604020202020204"/>
    <w:charset w:val="00"/>
    <w:family w:val="swiss"/>
    <w:pitch w:val="default"/>
    <w:sig w:usb0="20007A87" w:usb1="80000000" w:usb2="00000008" w:usb3="00000000" w:csb0="000001FF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0"/>
    <w:family w:val="modern"/>
    <w:pitch w:val="default"/>
    <w:sig w:usb0="20007A87" w:usb1="80000000" w:usb2="00000008" w:usb3="00000000" w:csb0="000001F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altName w:val="方正书宋_GBK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rFonts w:hint="eastAsia" w:ascii="SimSun" w:hAnsi="SimSun" w:eastAsia="SimSun" w:cs="SimSu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SimSun" w:hAnsi="SimSun" w:eastAsia="SimSun" w:cs="SimSu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SimSun" w:hAnsi="SimSun" w:eastAsia="SimSun" w:cs="SimSu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SimSun" w:hAnsi="SimSun" w:eastAsia="SimSun" w:cs="SimSu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SimSun" w:hAnsi="SimSun" w:eastAsia="SimSun" w:cs="SimSu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WAAAAZHJzL1BLAQIUABQAAAAI&#10;AIdO4kCzSVju0AAAAAUBAAAPAAAAAAAAAAEAIAAAADgAAABkcnMvZG93bnJldi54bWxQSwECFAAU&#10;AAAACACHTuJASQizEBwCAAApBAAADgAAAAAAAAABACAAAAA1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rFonts w:hint="eastAsia" w:ascii="SimSun" w:hAnsi="SimSun" w:eastAsia="SimSun" w:cs="SimSu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SimSun" w:hAnsi="SimSun" w:eastAsia="SimSun" w:cs="SimSu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SimSun" w:hAnsi="SimSun" w:eastAsia="SimSun" w:cs="SimSu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SimSun" w:hAnsi="SimSun" w:eastAsia="SimSun" w:cs="SimSu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SimSun" w:hAnsi="SimSun" w:eastAsia="SimSun" w:cs="SimSu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13E62C"/>
    <w:multiLevelType w:val="singleLevel"/>
    <w:tmpl w:val="9113E62C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AB0DB09F"/>
    <w:multiLevelType w:val="singleLevel"/>
    <w:tmpl w:val="AB0DB09F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D9B041C5"/>
    <w:multiLevelType w:val="singleLevel"/>
    <w:tmpl w:val="D9B041C5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03FD2D18"/>
    <w:multiLevelType w:val="singleLevel"/>
    <w:tmpl w:val="03FD2D1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0F636FC4"/>
    <w:multiLevelType w:val="singleLevel"/>
    <w:tmpl w:val="0F636FC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3586EB93"/>
    <w:multiLevelType w:val="singleLevel"/>
    <w:tmpl w:val="3586EB93"/>
    <w:lvl w:ilvl="0" w:tentative="0">
      <w:start w:val="1"/>
      <w:numFmt w:val="decimal"/>
      <w:suff w:val="nothing"/>
      <w:lvlText w:val="（%1）"/>
      <w:lvlJc w:val="left"/>
    </w:lvl>
  </w:abstractNum>
  <w:abstractNum w:abstractNumId="6">
    <w:nsid w:val="79B64FF5"/>
    <w:multiLevelType w:val="singleLevel"/>
    <w:tmpl w:val="79B64FF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7DE40D83"/>
    <w:multiLevelType w:val="singleLevel"/>
    <w:tmpl w:val="7DE40D8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0"/>
  </w:num>
  <w:num w:numId="5">
    <w:abstractNumId w:val="4"/>
  </w:num>
  <w:num w:numId="6">
    <w:abstractNumId w:val="2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FjMWJmOGM2OGZiYWQ1NDJmZDlkYmJmMzc3MjVhZDkifQ=="/>
    <w:docVar w:name="KSO_WPS_MARK_KEY" w:val="8da9fe16-07e9-4728-9327-bdf3d84fbabf"/>
  </w:docVars>
  <w:rsids>
    <w:rsidRoot w:val="29555FC8"/>
    <w:rsid w:val="122C6E93"/>
    <w:rsid w:val="1BB636AE"/>
    <w:rsid w:val="21640011"/>
    <w:rsid w:val="29555FC8"/>
    <w:rsid w:val="2C8D4569"/>
    <w:rsid w:val="35E50D56"/>
    <w:rsid w:val="38A001C9"/>
    <w:rsid w:val="3DDE1C09"/>
    <w:rsid w:val="4230143F"/>
    <w:rsid w:val="44DB35C1"/>
    <w:rsid w:val="45EC4EC4"/>
    <w:rsid w:val="49921963"/>
    <w:rsid w:val="5E3D10EA"/>
    <w:rsid w:val="64364DB2"/>
    <w:rsid w:val="69C2651D"/>
    <w:rsid w:val="6AB3DDB9"/>
    <w:rsid w:val="FEFFEC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Calibri" w:eastAsia="仿宋_GB2312" w:cs="仿宋_GB2312"/>
      <w:color w:val="000000"/>
      <w:sz w:val="24"/>
      <w:szCs w:val="24"/>
      <w:lang w:val="en-US" w:eastAsia="zh-CN" w:bidi="ar-SA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3287</Words>
  <Characters>3330</Characters>
  <Lines>0</Lines>
  <Paragraphs>0</Paragraphs>
  <TotalTime>26</TotalTime>
  <ScaleCrop>false</ScaleCrop>
  <LinksUpToDate>false</LinksUpToDate>
  <CharactersWithSpaces>3361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2022-04-01T20:50:00Z</dcterms:created>
  <dc:creator>WPS_1608100137</dc:creator>
  <cp:lastModifiedBy>kylin</cp:lastModifiedBy>
  <cp:lastPrinted>2024-03-25T17:03:00Z</cp:lastPrinted>
  <dcterms:modified xsi:type="dcterms:W3CDTF">2024-04-09T14:52:54Z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1033-11.8.2.10125</vt:lpwstr>
  </property>
  <property fmtid="{D5CDD505-2E9C-101B-9397-08002B2CF9AE}" pid="3" name="ICV">
    <vt:lpwstr>C204B4A2647F451998AD589CE12ED75F_13</vt:lpwstr>
  </property>
</Properties>
</file>