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石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家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府发〔202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〕</w:t>
      </w:r>
      <w:r>
        <w:rPr>
          <w:rFonts w:hint="eastAsia" w:eastAsia="方正仿宋_GBK" w:cs="Times New Roman"/>
          <w:bCs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jc w:val="center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bCs/>
          <w:color w:val="000000"/>
          <w:sz w:val="44"/>
          <w:szCs w:val="44"/>
        </w:rPr>
        <w:t>黔江区石家镇</w:t>
      </w:r>
      <w:r>
        <w:rPr>
          <w:rFonts w:hint="eastAsia" w:ascii="方正小标宋_GBK" w:eastAsia="方正小标宋_GBK"/>
          <w:bCs/>
          <w:color w:val="000000"/>
          <w:sz w:val="44"/>
          <w:szCs w:val="44"/>
          <w:lang w:val="en-US" w:eastAsia="zh-CN"/>
        </w:rPr>
        <w:t>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94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关于印发202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年稻油轮作种植</w:t>
      </w:r>
      <w:r>
        <w:rPr>
          <w:rFonts w:hint="eastAsia" w:eastAsia="方正小标宋_GBK" w:asciiTheme="minorHAnsi" w:hAnsiTheme="minorHAnsi"/>
          <w:sz w:val="44"/>
          <w:szCs w:val="44"/>
        </w:rPr>
        <w:t>模式</w:t>
      </w:r>
      <w:r>
        <w:rPr>
          <w:rFonts w:hint="eastAsia" w:ascii="方正小标宋_GBK" w:eastAsia="方正小标宋_GBK"/>
          <w:sz w:val="44"/>
          <w:szCs w:val="44"/>
        </w:rPr>
        <w:t>技术推广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94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工作意见的通知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各村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社区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为确保我镇粮食安全，保障粮油产品有效供给，服务乡村振兴，根据上级有关文件要求和部署，结合我镇实际情况，特制订《石家镇稻油轮作种植模式技术推广工作意见》现印发给你们，请各村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社区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结合实际情况，抓好贯彻落实。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jc w:val="left"/>
        <w:rPr>
          <w:rFonts w:hint="eastAsia" w:ascii="方正仿宋_GBK" w:eastAsia="方正仿宋_GBK"/>
          <w:bCs/>
          <w:sz w:val="32"/>
          <w:szCs w:val="32"/>
        </w:rPr>
      </w:pPr>
      <w:r>
        <w:rPr>
          <w:rFonts w:hint="eastAsia" w:ascii="方正仿宋_GBK" w:eastAsia="方正仿宋_GBK"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4640" w:firstLineChars="1450"/>
        <w:jc w:val="left"/>
        <w:rPr>
          <w:rFonts w:ascii="方正仿宋_GBK" w:eastAsia="方正仿宋_GBK"/>
          <w:bCs/>
          <w:sz w:val="32"/>
          <w:szCs w:val="32"/>
        </w:rPr>
      </w:pPr>
      <w:r>
        <w:rPr>
          <w:rFonts w:hint="eastAsia" w:ascii="方正仿宋_GBK" w:eastAsia="方正仿宋_GBK"/>
          <w:bCs/>
          <w:sz w:val="32"/>
          <w:szCs w:val="32"/>
        </w:rPr>
        <w:t>黔江区石家镇人民政府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5120" w:firstLineChars="1600"/>
        <w:jc w:val="left"/>
        <w:rPr>
          <w:rFonts w:hint="eastAsia" w:ascii="方正仿宋_GBK" w:eastAsia="方正仿宋_GBK"/>
          <w:b/>
          <w:bCs/>
          <w:sz w:val="52"/>
          <w:szCs w:val="5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594" w:lineRule="exact"/>
        <w:ind w:left="3375" w:right="574" w:hanging="337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000000"/>
          <w:spacing w:val="-33"/>
          <w:kern w:val="0"/>
          <w:sz w:val="44"/>
          <w:szCs w:val="44"/>
          <w:lang w:eastAsia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000000"/>
          <w:spacing w:val="-33"/>
          <w:kern w:val="0"/>
          <w:sz w:val="44"/>
          <w:szCs w:val="44"/>
          <w:lang w:eastAsia="en-US"/>
        </w:rPr>
        <w:t>石家镇稻油轮作种植模式技术推广工作意见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594" w:lineRule="exact"/>
        <w:ind w:left="3375" w:right="574" w:hanging="3370"/>
        <w:jc w:val="center"/>
        <w:textAlignment w:val="baseline"/>
        <w:rPr>
          <w:rFonts w:hint="eastAsia" w:ascii="方正小标宋_GBK" w:hAnsi="方正小标宋_GBK" w:eastAsia="方正小标宋_GBK" w:cs="方正小标宋_GBK"/>
          <w:b/>
          <w:bCs/>
          <w:snapToGrid w:val="0"/>
          <w:color w:val="000000"/>
          <w:spacing w:val="-33"/>
          <w:kern w:val="0"/>
          <w:sz w:val="44"/>
          <w:szCs w:val="44"/>
          <w:lang w:eastAsia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 w:val="0"/>
        <w:snapToGrid w:val="0"/>
        <w:spacing w:line="594" w:lineRule="exact"/>
        <w:ind w:firstLine="653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17"/>
          <w:sz w:val="32"/>
          <w:szCs w:val="32"/>
        </w:rPr>
        <w:t>为深入贯彻习近平总书记关于粮食安全的重要讲话和重</w:t>
      </w:r>
      <w:r>
        <w:rPr>
          <w:rFonts w:hint="eastAsia" w:ascii="方正仿宋_GBK" w:hAnsi="方正仿宋_GBK" w:eastAsia="方正仿宋_GBK" w:cs="方正仿宋_GBK"/>
          <w:spacing w:val="16"/>
          <w:sz w:val="32"/>
          <w:szCs w:val="32"/>
        </w:rPr>
        <w:t>要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  <w:t>指</w:t>
      </w:r>
      <w:r>
        <w:rPr>
          <w:rFonts w:hint="eastAsia" w:ascii="方正仿宋_GBK" w:hAnsi="方正仿宋_GBK" w:eastAsia="方正仿宋_GBK" w:cs="方正仿宋_GBK"/>
          <w:spacing w:val="7"/>
          <w:sz w:val="32"/>
          <w:szCs w:val="32"/>
        </w:rPr>
        <w:t>示</w:t>
      </w:r>
      <w:r>
        <w:rPr>
          <w:rFonts w:hint="eastAsia" w:ascii="方正仿宋_GBK" w:hAnsi="方正仿宋_GBK" w:eastAsia="方正仿宋_GBK" w:cs="方正仿宋_GBK"/>
          <w:spacing w:val="5"/>
          <w:sz w:val="32"/>
          <w:szCs w:val="32"/>
        </w:rPr>
        <w:t>精神，攻坚克难夺取全年粮油丰收，更高水平筑牢粮食安全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底线，结合我镇实际，提出以下具体措施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72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pacing w:val="8"/>
          <w:sz w:val="32"/>
          <w:szCs w:val="32"/>
        </w:rPr>
        <w:t>一、全力</w:t>
      </w:r>
      <w:r>
        <w:rPr>
          <w:rFonts w:hint="eastAsia" w:ascii="方正黑体_GBK" w:hAnsi="方正黑体_GBK" w:eastAsia="方正黑体_GBK" w:cs="方正黑体_GBK"/>
          <w:b w:val="0"/>
          <w:bCs w:val="0"/>
          <w:spacing w:val="6"/>
          <w:sz w:val="32"/>
          <w:szCs w:val="32"/>
        </w:rPr>
        <w:t>以</w:t>
      </w:r>
      <w:r>
        <w:rPr>
          <w:rFonts w:hint="eastAsia" w:ascii="方正黑体_GBK" w:hAnsi="方正黑体_GBK" w:eastAsia="方正黑体_GBK" w:cs="方正黑体_GBK"/>
          <w:b w:val="0"/>
          <w:bCs w:val="0"/>
          <w:spacing w:val="4"/>
          <w:sz w:val="32"/>
          <w:szCs w:val="32"/>
        </w:rPr>
        <w:t>赴实现稳粮扩油。</w:t>
      </w:r>
      <w:r>
        <w:rPr>
          <w:rFonts w:hint="eastAsia" w:ascii="方正仿宋_GBK" w:hAnsi="方正仿宋_GBK" w:eastAsia="方正仿宋_GBK" w:cs="方正仿宋_GBK"/>
          <w:spacing w:val="4"/>
          <w:sz w:val="32"/>
          <w:szCs w:val="32"/>
        </w:rPr>
        <w:t>坚决贯彻落实粮食安全党政同</w:t>
      </w:r>
      <w:r>
        <w:rPr>
          <w:rFonts w:hint="eastAsia" w:ascii="方正仿宋_GBK" w:hAnsi="方正仿宋_GBK" w:eastAsia="方正仿宋_GBK" w:cs="方正仿宋_GBK"/>
          <w:spacing w:val="5"/>
          <w:sz w:val="32"/>
          <w:szCs w:val="32"/>
        </w:rPr>
        <w:t>责，深入实施稳粮扩油行动。建立粮油生产任务清单，严格实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行</w:t>
      </w:r>
      <w:r>
        <w:rPr>
          <w:rFonts w:hint="eastAsia" w:ascii="方正仿宋_GBK" w:hAnsi="方正仿宋_GBK" w:eastAsia="方正仿宋_GBK" w:cs="方正仿宋_GBK"/>
          <w:spacing w:val="2"/>
          <w:sz w:val="32"/>
          <w:szCs w:val="32"/>
        </w:rPr>
        <w:t>目标管理，强化工作调度，将任务分解落实到村居、到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  <w:t>地</w:t>
      </w:r>
      <w:r>
        <w:rPr>
          <w:rFonts w:hint="eastAsia" w:ascii="方正仿宋_GBK" w:hAnsi="方正仿宋_GBK" w:eastAsia="方正仿宋_GBK" w:cs="方正仿宋_GBK"/>
          <w:spacing w:val="7"/>
          <w:sz w:val="32"/>
          <w:szCs w:val="32"/>
        </w:rPr>
        <w:t>块</w:t>
      </w:r>
      <w:r>
        <w:rPr>
          <w:rFonts w:hint="eastAsia" w:ascii="方正仿宋_GBK" w:hAnsi="方正仿宋_GBK" w:eastAsia="方正仿宋_GBK" w:cs="方正仿宋_GBK"/>
          <w:spacing w:val="5"/>
          <w:sz w:val="32"/>
          <w:szCs w:val="32"/>
        </w:rPr>
        <w:t>，层层压实责任。建立农资保供专班常态化工作机制，开展</w:t>
      </w:r>
      <w:r>
        <w:rPr>
          <w:rFonts w:hint="eastAsia" w:ascii="方正仿宋_GBK" w:hAnsi="方正仿宋_GBK" w:eastAsia="方正仿宋_GBK" w:cs="方正仿宋_GBK"/>
          <w:spacing w:val="2"/>
          <w:sz w:val="32"/>
          <w:szCs w:val="32"/>
        </w:rPr>
        <w:t>市场供需监测，组织调剂调运，加快推进农资到户到田。确保粮食播种</w:t>
      </w:r>
      <w:r>
        <w:rPr>
          <w:rFonts w:hint="eastAsia" w:ascii="方正仿宋_GBK" w:hAnsi="方正仿宋_GBK" w:eastAsia="方正仿宋_GBK" w:cs="方正仿宋_GBK"/>
          <w:spacing w:val="1"/>
          <w:sz w:val="32"/>
          <w:szCs w:val="32"/>
        </w:rPr>
        <w:t>面积稳定在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1"/>
          <w:sz w:val="32"/>
          <w:szCs w:val="32"/>
          <w14:textFill>
            <w14:solidFill>
              <w14:schemeClr w14:val="tx1"/>
            </w14:solidFill>
          </w14:textFill>
        </w:rPr>
        <w:t>26880亩、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pacing w:val="1"/>
          <w:sz w:val="32"/>
          <w:szCs w:val="32"/>
          <w14:textFill>
            <w14:solidFill>
              <w14:schemeClr w14:val="tx1"/>
            </w14:solidFill>
          </w14:textFill>
        </w:rPr>
        <w:t>粮食产量1749.6吨以上，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  <w:t>油菜播种面积5020</w:t>
      </w:r>
      <w:r>
        <w:rPr>
          <w:rFonts w:hint="eastAsia" w:ascii="方正仿宋_GBK" w:hAnsi="方正仿宋_GBK" w:eastAsia="方正仿宋_GBK" w:cs="方正仿宋_GBK"/>
          <w:spacing w:val="4"/>
          <w:sz w:val="32"/>
          <w:szCs w:val="32"/>
        </w:rPr>
        <w:t>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 w:val="0"/>
        <w:snapToGrid w:val="0"/>
        <w:spacing w:line="594" w:lineRule="exact"/>
        <w:ind w:firstLine="635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pacing w:val="8"/>
          <w:sz w:val="32"/>
          <w:szCs w:val="32"/>
        </w:rPr>
        <w:t>二、大力推进稻油轮作种植模式。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大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力推广高产、高含油“双低”油菜品种，深入推动</w:t>
      </w:r>
      <w:r>
        <w:rPr>
          <w:rFonts w:hint="eastAsia" w:ascii="方正仿宋_GBK" w:hAnsi="方正仿宋_GBK" w:eastAsia="方正仿宋_GBK" w:cs="方正仿宋_GBK"/>
          <w:spacing w:val="2"/>
          <w:sz w:val="32"/>
          <w:szCs w:val="32"/>
        </w:rPr>
        <w:t>油菜生产建设。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镇油菜加大推广庆油3号、庆油8号、渝油35等含油率超过42%的“双低”油菜品种推广力度。积极推进稻油轮作区机械化、稻田免耕种植、油菜轻简直播、油蔬两用油菜、观光油菜种植等，提升综合效益，深化产业融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 w:val="0"/>
        <w:snapToGrid w:val="0"/>
        <w:spacing w:line="594" w:lineRule="exact"/>
        <w:ind w:firstLine="635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pacing w:val="8"/>
          <w:sz w:val="32"/>
          <w:szCs w:val="32"/>
        </w:rPr>
        <w:t>三、示范片的建设。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了确保我镇能圆满完成油菜种植任务，我镇将在关口村龙江家庭的103亩水稻种植基地上开展稻油轮作示范片试点推广的工作，是利用冬季闲置的稻田再种植一茬油菜。开展“稻油轮作”不仅是耕地轮作的新模式，也能保障粮食、油料等农产品的供给，而且提高了土地利用率与土地效益，增加了农民的收入，可谓一举多得，各村要加大这种模式的推广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2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四、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任务下达。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我镇也关口村龙江家庭农场的稻油轮为示范点,通过此示范点向周边延伸，将带动全镇5020亩的油菜种植面积，全面完成上级下达的种植任务及稻油轮作推广技术。各村要按照所分配的任务认真开展好此项工作。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rPr>
          <w:rFonts w:hint="eastAsia" w:ascii="方正仿宋_GBK" w:eastAsia="方正仿宋_GBK"/>
          <w:sz w:val="32"/>
          <w:szCs w:val="32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rPr>
          <w:rFonts w:hint="eastAsia" w:ascii="方正仿宋_GBK" w:eastAsia="方正仿宋_GBK"/>
          <w:sz w:val="32"/>
          <w:szCs w:val="32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附件：黔江区石家镇人民政府关于成立《2024年稻油轮作种植模式技术推广工作意见》工作领导小组的通知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rPr>
          <w:rFonts w:hint="eastAsia" w:ascii="方正仿宋_GBK" w:eastAsia="方正仿宋_GBK"/>
          <w:sz w:val="32"/>
          <w:szCs w:val="32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黔江区石家镇人民政府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关于成立《202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年稻油轮作种植模式技术推广工作意见》工作领导小组的通知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0" w:firstLineChars="200"/>
        <w:jc w:val="left"/>
        <w:rPr>
          <w:rFonts w:hint="eastAsia" w:ascii="Calibri" w:hAnsi="Calibri"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0" w:firstLineChars="200"/>
        <w:jc w:val="left"/>
        <w:rPr>
          <w:rFonts w:hint="eastAsia" w:ascii="Calibri" w:hAnsi="Calibri" w:eastAsia="方正仿宋_GBK"/>
          <w:sz w:val="32"/>
          <w:szCs w:val="32"/>
        </w:rPr>
      </w:pPr>
      <w:r>
        <w:rPr>
          <w:rFonts w:hint="eastAsia" w:ascii="方正仿宋_GBK" w:hAnsi="Calibri" w:eastAsia="方正仿宋_GBK"/>
          <w:sz w:val="32"/>
          <w:szCs w:val="32"/>
        </w:rPr>
        <w:t>组</w:t>
      </w:r>
      <w:r>
        <w:rPr>
          <w:rFonts w:hint="eastAsia" w:ascii="Calibri" w:hAnsi="Calibri" w:eastAsia="方正仿宋_GBK"/>
          <w:sz w:val="32"/>
          <w:szCs w:val="32"/>
        </w:rPr>
        <w:t xml:space="preserve">  </w:t>
      </w:r>
      <w:r>
        <w:rPr>
          <w:rFonts w:hint="eastAsia" w:ascii="方正仿宋_GBK" w:hAnsi="Calibri" w:eastAsia="方正仿宋_GBK"/>
          <w:sz w:val="32"/>
          <w:szCs w:val="32"/>
        </w:rPr>
        <w:t>长：张永洲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0" w:firstLineChars="200"/>
        <w:jc w:val="left"/>
        <w:rPr>
          <w:rFonts w:hint="eastAsia" w:ascii="Calibri" w:hAnsi="Calibri" w:eastAsia="方正仿宋_GBK"/>
          <w:sz w:val="32"/>
          <w:szCs w:val="32"/>
        </w:rPr>
      </w:pPr>
      <w:r>
        <w:rPr>
          <w:rFonts w:hint="eastAsia" w:ascii="方正仿宋_GBK" w:hAnsi="Calibri" w:eastAsia="方正仿宋_GBK"/>
          <w:sz w:val="32"/>
          <w:szCs w:val="32"/>
        </w:rPr>
        <w:t>副组长：陈世勇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0" w:firstLineChars="200"/>
        <w:jc w:val="left"/>
        <w:rPr>
          <w:rFonts w:hint="eastAsia" w:ascii="Calibri" w:hAnsi="Calibri" w:eastAsia="方正仿宋_GBK"/>
          <w:sz w:val="32"/>
          <w:szCs w:val="32"/>
        </w:rPr>
      </w:pPr>
      <w:r>
        <w:rPr>
          <w:rFonts w:hint="eastAsia" w:ascii="方正仿宋_GBK" w:hAnsi="Calibri" w:eastAsia="方正仿宋_GBK"/>
          <w:sz w:val="32"/>
          <w:szCs w:val="32"/>
        </w:rPr>
        <w:t>成</w:t>
      </w:r>
      <w:r>
        <w:rPr>
          <w:rFonts w:hint="eastAsia" w:ascii="Calibri" w:hAnsi="Calibri" w:eastAsia="方正仿宋_GBK"/>
          <w:sz w:val="32"/>
          <w:szCs w:val="32"/>
        </w:rPr>
        <w:t xml:space="preserve">  </w:t>
      </w:r>
      <w:r>
        <w:rPr>
          <w:rFonts w:hint="eastAsia" w:ascii="方正仿宋_GBK" w:hAnsi="Calibri" w:eastAsia="方正仿宋_GBK"/>
          <w:sz w:val="32"/>
          <w:szCs w:val="32"/>
        </w:rPr>
        <w:t>员：</w:t>
      </w:r>
      <w:r>
        <w:rPr>
          <w:rFonts w:hint="eastAsia" w:ascii="方正仿宋_GBK" w:hAnsi="Calibri" w:eastAsia="方正仿宋_GBK"/>
          <w:sz w:val="32"/>
          <w:szCs w:val="32"/>
          <w:lang w:eastAsia="zh-CN"/>
        </w:rPr>
        <w:t>唐</w:t>
      </w:r>
      <w:r>
        <w:rPr>
          <w:rFonts w:hint="eastAsia" w:ascii="方正仿宋_GBK" w:hAnsi="Calibri" w:eastAsia="方正仿宋_GBK"/>
          <w:sz w:val="32"/>
          <w:szCs w:val="32"/>
          <w:lang w:val="en-US" w:eastAsia="zh-CN"/>
        </w:rPr>
        <w:t xml:space="preserve">  黄  </w:t>
      </w:r>
      <w:r>
        <w:rPr>
          <w:rFonts w:hint="eastAsia" w:ascii="方正仿宋_GBK" w:hAnsi="Calibri" w:eastAsia="方正仿宋_GBK"/>
          <w:sz w:val="32"/>
          <w:szCs w:val="32"/>
        </w:rPr>
        <w:t>余泽洪</w:t>
      </w:r>
      <w:r>
        <w:rPr>
          <w:rFonts w:hint="eastAsia" w:ascii="Calibri" w:hAnsi="Calibri" w:eastAsia="方正仿宋_GBK"/>
          <w:sz w:val="32"/>
          <w:szCs w:val="32"/>
        </w:rPr>
        <w:t xml:space="preserve">  </w:t>
      </w:r>
      <w:r>
        <w:rPr>
          <w:rFonts w:hint="eastAsia" w:ascii="方正仿宋_GBK" w:hAnsi="Calibri" w:eastAsia="方正仿宋_GBK"/>
          <w:sz w:val="32"/>
          <w:szCs w:val="32"/>
        </w:rPr>
        <w:t>张翠华</w:t>
      </w:r>
      <w:r>
        <w:rPr>
          <w:rFonts w:hint="eastAsia" w:ascii="Calibri" w:hAnsi="Calibri" w:eastAsia="方正仿宋_GBK"/>
          <w:sz w:val="32"/>
          <w:szCs w:val="32"/>
        </w:rPr>
        <w:t xml:space="preserve">  </w:t>
      </w:r>
      <w:r>
        <w:rPr>
          <w:rFonts w:hint="eastAsia" w:ascii="方正仿宋_GBK" w:hAnsi="Calibri" w:eastAsia="方正仿宋_GBK"/>
          <w:sz w:val="32"/>
          <w:szCs w:val="32"/>
        </w:rPr>
        <w:t>张泽松</w:t>
      </w:r>
      <w:r>
        <w:rPr>
          <w:rFonts w:hint="eastAsia" w:ascii="Calibri" w:hAnsi="Calibri" w:eastAsia="方正仿宋_GBK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1920" w:firstLineChars="600"/>
        <w:jc w:val="left"/>
        <w:rPr>
          <w:rFonts w:hint="eastAsia" w:ascii="Calibri" w:hAnsi="Calibri" w:eastAsia="方正仿宋_GBK"/>
          <w:sz w:val="32"/>
          <w:szCs w:val="32"/>
        </w:rPr>
      </w:pPr>
      <w:r>
        <w:rPr>
          <w:rFonts w:hint="eastAsia" w:ascii="方正仿宋_GBK" w:hAnsi="Calibri" w:eastAsia="方正仿宋_GBK"/>
          <w:sz w:val="32"/>
          <w:szCs w:val="32"/>
        </w:rPr>
        <w:t>杨正奎</w:t>
      </w:r>
      <w:r>
        <w:rPr>
          <w:rFonts w:hint="eastAsia" w:ascii="Calibri" w:hAnsi="Calibri" w:eastAsia="方正仿宋_GBK"/>
          <w:sz w:val="32"/>
          <w:szCs w:val="32"/>
        </w:rPr>
        <w:t xml:space="preserve"> </w:t>
      </w:r>
      <w:r>
        <w:rPr>
          <w:rFonts w:hint="eastAsia" w:ascii="Calibri" w:hAnsi="Calibri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/>
          <w:sz w:val="32"/>
          <w:szCs w:val="32"/>
        </w:rPr>
        <w:t>曾敏国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0" w:firstLineChars="200"/>
        <w:jc w:val="left"/>
        <w:rPr>
          <w:rFonts w:hint="eastAsia" w:ascii="Calibri" w:hAnsi="Calibri" w:eastAsia="方正仿宋_GBK"/>
          <w:sz w:val="32"/>
          <w:szCs w:val="32"/>
        </w:rPr>
      </w:pPr>
      <w:r>
        <w:rPr>
          <w:rFonts w:hint="eastAsia" w:ascii="方正仿宋_GBK" w:hAnsi="Calibri" w:eastAsia="方正仿宋_GBK"/>
          <w:sz w:val="32"/>
          <w:szCs w:val="32"/>
        </w:rPr>
        <w:t>该办公室下设在农业服务中心，由唐黄任主任，张翠华、余泽洪负责作技术方面的指导。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94" w:lineRule="exact"/>
        <w:ind w:firstLine="640" w:firstLineChars="200"/>
        <w:jc w:val="left"/>
        <w:rPr>
          <w:rFonts w:ascii="Calibri" w:hAnsi="Calibri" w:eastAsia="方正仿宋_GBK"/>
          <w:sz w:val="32"/>
          <w:szCs w:val="32"/>
        </w:rPr>
      </w:pPr>
      <w:r>
        <w:rPr>
          <w:rFonts w:ascii="Calibri" w:hAnsi="Calibri" w:eastAsia="方正仿宋_GBK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Calibri" w:hAnsi="Calibri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Calibri" w:hAnsi="Calibri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Calibri" w:hAnsi="Calibri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Calibri" w:hAnsi="Calibri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Calibri" w:hAnsi="Calibri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Calibri" w:hAnsi="Calibri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ind w:firstLine="280" w:firstLineChars="100"/>
        <w:jc w:val="both"/>
        <w:textAlignment w:val="auto"/>
      </w:pP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46355</wp:posOffset>
                </wp:positionV>
                <wp:extent cx="5652135" cy="0"/>
                <wp:effectExtent l="0" t="4445" r="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0.75pt;margin-top:3.65pt;height:0pt;width:445.05pt;z-index:251660288;mso-width-relative:page;mso-height-relative:page;" filled="f" stroked="t" coordsize="21600,21600" o:gfxdata="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FgAAAGRycy9QSwECFAAUAAAA&#10;CACHTuJAt6KqjNQAAAAGAQAADwAAAAAAAAABACAAAAA4AAAAZHJzL2Rvd25yZXYueG1sUEsBAhQA&#10;FAAAAAgAh07iQHcMdUvgAQAApwMAAA4AAAAAAAAAAQAgAAAAO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405765</wp:posOffset>
                </wp:positionV>
                <wp:extent cx="5652135" cy="0"/>
                <wp:effectExtent l="0" t="6350" r="0" b="63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6" o:spt="20" style="position:absolute;left:0pt;margin-left:0pt;margin-top:31.95pt;height:0pt;width:445.05pt;z-index:251659264;mso-width-relative:page;mso-height-relative:page;" filled="f" stroked="t" coordsize="21600,21600" o:gfxdata="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B78lWF1gAAAAYBAAAPAAAAAAAAAAEAIAAAADgAAABkcnMvZG93bnJldi54bWxQSwEC&#10;FAAUAAAACACHTuJAwIn6a+ABAACoAwAADgAAAAAAAAABACAAAAA7AQAAZHJzL2Uyb0RvYy54bWxQ&#10;SwUGAAAAAAYABgBZAQAAj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黔江区石家镇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年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月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日印发</w:t>
      </w:r>
    </w:p>
    <w:sectPr>
      <w:footerReference r:id="rId3" w:type="default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方正书宋_GB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SimSun" w:hAnsi="SimSun" w:eastAsia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SimSun" w:hAnsi="SimSun" w:eastAsia="SimSun" w:cs="SimSu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SimSun" w:hAnsi="SimSun" w:eastAsia="SimSun" w:cs="SimSu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SimSun" w:hAnsi="SimSun" w:eastAsia="SimSun" w:cs="SimSu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SimSun" w:hAnsi="SimSun" w:eastAsia="SimSun" w:cs="SimSu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SimSun" w:hAnsi="SimSun" w:eastAsia="SimSun" w:cs="SimSu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A8TPSHQIAACkEAAAOAAAAZHJz&#10;L2Uyb0RvYy54bWytU82O0zAQviPxDpbvNGlRV1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9eT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IDxM9I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hint="eastAsia" w:ascii="SimSun" w:hAnsi="SimSun" w:eastAsia="SimSun" w:cs="SimSu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SimSun" w:hAnsi="SimSun" w:eastAsia="SimSun" w:cs="SimSu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SimSun" w:hAnsi="SimSun" w:eastAsia="SimSun" w:cs="SimSu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SimSun" w:hAnsi="SimSun" w:eastAsia="SimSun" w:cs="SimSu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SimSun" w:hAnsi="SimSun" w:eastAsia="SimSun" w:cs="SimSu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OTFmZjNlMTJhZTlkYmJkYmI0MzVkN2Y2OGUxZTEifQ=="/>
  </w:docVars>
  <w:rsids>
    <w:rsidRoot w:val="00094E6A"/>
    <w:rsid w:val="00036F03"/>
    <w:rsid w:val="00094E6A"/>
    <w:rsid w:val="001C77B5"/>
    <w:rsid w:val="003E1570"/>
    <w:rsid w:val="00417BBE"/>
    <w:rsid w:val="00490C21"/>
    <w:rsid w:val="007932EB"/>
    <w:rsid w:val="008763E1"/>
    <w:rsid w:val="008E5A6B"/>
    <w:rsid w:val="008E7E7B"/>
    <w:rsid w:val="00A01E6E"/>
    <w:rsid w:val="00A67E9A"/>
    <w:rsid w:val="00AC459C"/>
    <w:rsid w:val="00C7034D"/>
    <w:rsid w:val="22D447A0"/>
    <w:rsid w:val="243D1A04"/>
    <w:rsid w:val="3AC20240"/>
    <w:rsid w:val="3E2C3534"/>
    <w:rsid w:val="44E00044"/>
    <w:rsid w:val="4B172BC7"/>
    <w:rsid w:val="4B9656A4"/>
    <w:rsid w:val="54176117"/>
    <w:rsid w:val="5855757F"/>
    <w:rsid w:val="5EF32937"/>
    <w:rsid w:val="60221A7D"/>
    <w:rsid w:val="64EF7046"/>
    <w:rsid w:val="6B954626"/>
    <w:rsid w:val="737E4DAC"/>
    <w:rsid w:val="7F993E47"/>
    <w:rsid w:val="DDC7D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unhideWhenUsed/>
    <w:qFormat/>
    <w:uiPriority w:val="99"/>
    <w:rPr>
      <w:sz w:val="36"/>
      <w:szCs w:val="36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Indent"/>
    <w:basedOn w:val="1"/>
    <w:semiHidden/>
    <w:unhideWhenUsed/>
    <w:qFormat/>
    <w:uiPriority w:val="99"/>
    <w:pPr>
      <w:ind w:firstLine="420" w:firstLineChars="200"/>
    </w:pPr>
  </w:style>
  <w:style w:type="character" w:styleId="8">
    <w:name w:val="page number"/>
    <w:basedOn w:val="2"/>
    <w:qFormat/>
    <w:uiPriority w:val="0"/>
  </w:style>
  <w:style w:type="character" w:customStyle="1" w:styleId="9">
    <w:name w:val="正文文本 Char"/>
    <w:basedOn w:val="2"/>
    <w:link w:val="4"/>
    <w:qFormat/>
    <w:uiPriority w:val="99"/>
    <w:rPr>
      <w:rFonts w:ascii="Times New Roman" w:hAnsi="Times New Roman" w:eastAsia="SimSun" w:cs="Times New Roman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1015</Words>
  <Characters>1056</Characters>
  <Lines>7</Lines>
  <Paragraphs>2</Paragraphs>
  <TotalTime>11</TotalTime>
  <ScaleCrop>false</ScaleCrop>
  <LinksUpToDate>false</LinksUpToDate>
  <CharactersWithSpaces>1095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2023-07-21T09:55:00Z</dcterms:created>
  <dc:creator>Administrator</dc:creator>
  <cp:lastModifiedBy>kylin</cp:lastModifiedBy>
  <dcterms:modified xsi:type="dcterms:W3CDTF">2024-08-21T14:30:29Z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1033-11.8.2.10125</vt:lpwstr>
  </property>
  <property fmtid="{D5CDD505-2E9C-101B-9397-08002B2CF9AE}" pid="3" name="ICV">
    <vt:lpwstr>F1190C825F8E4A2CAE5D541A1200439A_13</vt:lpwstr>
  </property>
</Properties>
</file>