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rPr>
      </w:pPr>
      <w:bookmarkStart w:id="0" w:name="_Toc30576_WPSOffice_Level1"/>
    </w:p>
    <w:p>
      <w:pPr>
        <w:pStyle w:val="17"/>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rPr>
      </w:pPr>
    </w:p>
    <w:p>
      <w:pPr>
        <w:pStyle w:val="17"/>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both"/>
        <w:textAlignment w:val="auto"/>
        <w:rPr>
          <w:rFonts w:hint="default" w:ascii="Times New Roman" w:hAnsi="Times New Roman" w:cs="Times New Roman"/>
        </w:rPr>
      </w:pPr>
      <w:r>
        <w:rPr>
          <w:rFonts w:hint="default" w:ascii="Times New Roman" w:hAnsi="Times New Roman" w:cs="Times New Roman"/>
        </w:rPr>
        <w:pict>
          <v:shape id="_x0000_s1026" o:spid="_x0000_s1026" o:spt="136" type="#_x0000_t136" style="position:absolute;left:0pt;margin-left:92.15pt;margin-top:98.5pt;height:52.45pt;width:411pt;mso-position-horizontal-relative:page;mso-position-vertical-relative:margin;z-index:251662336;mso-width-relative:page;mso-height-relative:page;" fillcolor="#FF0000" filled="t" stroked="f" coordsize="21600,21600">
            <v:path/>
            <v:fill on="t" focussize="0,0"/>
            <v:stroke on="f" color="#FF0000"/>
            <v:imagedata o:title=""/>
            <o:lock v:ext="edit"/>
            <v:textpath on="t" fitshape="t" fitpath="t" trim="t" xscale="f" string="重庆市黔江区人民政府办公室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both"/>
        <w:textAlignment w:val="auto"/>
        <w:rPr>
          <w:rFonts w:hint="default" w:ascii="Times New Roman" w:hAnsi="Times New Roman" w:eastAsia="方正小标宋_GBK"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黔江府办发﹝2021﹞</w:t>
      </w:r>
      <w:r>
        <w:rPr>
          <w:rFonts w:hint="eastAsia" w:eastAsia="方正仿宋_GBK" w:cs="Times New Roman"/>
          <w:color w:val="000000"/>
          <w:kern w:val="2"/>
          <w:sz w:val="32"/>
          <w:szCs w:val="32"/>
          <w:lang w:val="en-US" w:eastAsia="zh-CN" w:bidi="ar-SA"/>
        </w:rPr>
        <w:t>81</w:t>
      </w:r>
      <w:r>
        <w:rPr>
          <w:rFonts w:hint="default" w:ascii="Times New Roman" w:hAnsi="Times New Roman" w:eastAsia="方正仿宋_GBK" w:cs="Times New Roman"/>
          <w:color w:val="000000"/>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b/>
          <w:bCs/>
          <w:sz w:val="44"/>
          <w:szCs w:val="44"/>
        </w:rPr>
      </w:pPr>
      <w:r>
        <w:rPr>
          <w:rFonts w:hint="default" w:ascii="Times New Roman" w:hAnsi="Times New Roman" w:cs="Times New Roman"/>
        </w:rPr>
        <mc:AlternateContent>
          <mc:Choice Requires="wps">
            <w:drawing>
              <wp:anchor distT="0" distB="0" distL="114300" distR="114300" simplePos="0" relativeHeight="251663360" behindDoc="0" locked="0" layoutInCell="1" allowOverlap="1">
                <wp:simplePos x="0" y="0"/>
                <wp:positionH relativeFrom="page">
                  <wp:posOffset>972185</wp:posOffset>
                </wp:positionH>
                <wp:positionV relativeFrom="margin">
                  <wp:posOffset>3364230</wp:posOffset>
                </wp:positionV>
                <wp:extent cx="5615940" cy="0"/>
                <wp:effectExtent l="0" t="10795" r="3810" b="1778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64.9pt;height:0pt;width:442.2pt;mso-position-horizontal-relative:page;mso-position-vertical-relative:margin;z-index:251663360;mso-width-relative:page;mso-height-relative:page;" filled="f" stroked="t" coordsize="21600,21600" o:gfxdata="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tkogO2QAAAAwBAAAPAAAAAAAAAAEAIAAAACIAAABkcnMvZG93bnJldi54bWxQ&#10;SwECFAAUAAAACACHTuJA44dNRvYBAADlAwAADgAAAAAAAAABACAAAAAoAQAAZHJzL2Uyb0RvYy54&#10;bWxQSwUGAAAAAAYABgBZAQAAkA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重庆市黔江区人民政府</w:t>
      </w:r>
      <w:r>
        <w:rPr>
          <w:rFonts w:hint="default" w:ascii="Times New Roman" w:hAnsi="Times New Roman" w:eastAsia="方正小标宋_GBK" w:cs="Times New Roman"/>
          <w:b w:val="0"/>
          <w:bCs w:val="0"/>
          <w:sz w:val="44"/>
          <w:szCs w:val="44"/>
          <w:lang w:val="en-US" w:eastAsia="zh-CN"/>
        </w:rPr>
        <w:t>办公室</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center"/>
        <w:textAlignment w:val="auto"/>
        <w:rPr>
          <w:rFonts w:hint="default" w:ascii="Times New Roman" w:hAnsi="Times New Roman" w:eastAsia="方正小标宋_GBK" w:cs="Times New Roman"/>
          <w:b w:val="0"/>
          <w:bCs w:val="0"/>
          <w:spacing w:val="-20"/>
          <w:sz w:val="44"/>
          <w:szCs w:val="44"/>
        </w:rPr>
      </w:pPr>
      <w:r>
        <w:rPr>
          <w:rFonts w:hint="default" w:ascii="Times New Roman" w:hAnsi="Times New Roman" w:eastAsia="方正小标宋_GBK" w:cs="Times New Roman"/>
          <w:b w:val="0"/>
          <w:bCs w:val="0"/>
          <w:spacing w:val="-20"/>
          <w:sz w:val="44"/>
          <w:szCs w:val="44"/>
        </w:rPr>
        <w:t>关于印发《黔江区城市供水“十四五”规划》的通知</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各乡</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镇人民政府，各街道办事处，</w:t>
      </w:r>
      <w:r>
        <w:rPr>
          <w:rFonts w:hint="default" w:ascii="Times New Roman" w:hAnsi="Times New Roman" w:eastAsia="方正仿宋_GBK" w:cs="Times New Roman"/>
          <w:color w:val="000000"/>
          <w:sz w:val="32"/>
          <w:szCs w:val="32"/>
          <w:lang w:eastAsia="zh-CN"/>
        </w:rPr>
        <w:t>区政府各部门，</w:t>
      </w:r>
      <w:r>
        <w:rPr>
          <w:rFonts w:hint="default" w:ascii="Times New Roman" w:hAnsi="Times New Roman" w:eastAsia="方正仿宋_GBK" w:cs="Times New Roman"/>
          <w:color w:val="000000"/>
          <w:sz w:val="32"/>
          <w:szCs w:val="32"/>
        </w:rPr>
        <w:t>有关单位：</w:t>
      </w:r>
    </w:p>
    <w:p>
      <w:pPr>
        <w:pStyle w:val="17"/>
        <w:keepNext w:val="0"/>
        <w:keepLines w:val="0"/>
        <w:pageBreakBefore w:val="0"/>
        <w:widowControl w:val="0"/>
        <w:tabs>
          <w:tab w:val="left" w:pos="948"/>
        </w:tabs>
        <w:kinsoku/>
        <w:wordWrap/>
        <w:overflowPunct/>
        <w:topLinePunct w:val="0"/>
        <w:autoSpaceDE/>
        <w:autoSpaceDN/>
        <w:bidi w:val="0"/>
        <w:adjustRightInd/>
        <w:snapToGrid/>
        <w:spacing w:after="0" w:line="579" w:lineRule="exact"/>
        <w:ind w:firstLine="640" w:firstLineChars="200"/>
        <w:textAlignment w:val="auto"/>
        <w:rPr>
          <w:rFonts w:hint="default" w:ascii="Times New Roman" w:hAnsi="Times New Roman" w:cs="Times New Roman"/>
          <w:sz w:val="32"/>
          <w:szCs w:val="32"/>
        </w:rPr>
      </w:pPr>
      <w:r>
        <w:rPr>
          <w:rFonts w:hint="default" w:ascii="Times New Roman" w:hAnsi="Times New Roman" w:eastAsia="方正仿宋_GBK" w:cs="Times New Roman"/>
          <w:color w:val="000000"/>
          <w:sz w:val="32"/>
          <w:szCs w:val="32"/>
          <w:lang w:val="en-US" w:eastAsia="zh-CN"/>
        </w:rPr>
        <w:t>《黔江区城市供水“十四五”规划》已经区政府同意，现</w:t>
      </w:r>
      <w:r>
        <w:rPr>
          <w:rFonts w:hint="default" w:ascii="Times New Roman" w:hAnsi="Times New Roman" w:eastAsia="方正仿宋_GBK" w:cs="Times New Roman"/>
          <w:color w:val="000000"/>
          <w:sz w:val="32"/>
          <w:szCs w:val="32"/>
        </w:rPr>
        <w:t>印发给你们，</w:t>
      </w:r>
      <w:r>
        <w:rPr>
          <w:rFonts w:hint="default" w:ascii="Times New Roman" w:hAnsi="Times New Roman" w:eastAsia="方正仿宋_GBK" w:cs="Times New Roman"/>
          <w:color w:val="000000"/>
          <w:sz w:val="32"/>
          <w:szCs w:val="32"/>
          <w:lang w:eastAsia="zh-CN"/>
        </w:rPr>
        <w:t>请认真</w:t>
      </w:r>
      <w:r>
        <w:rPr>
          <w:rFonts w:hint="default" w:ascii="Times New Roman" w:hAnsi="Times New Roman" w:eastAsia="方正仿宋_GBK" w:cs="Times New Roman"/>
          <w:color w:val="000000"/>
          <w:sz w:val="32"/>
          <w:szCs w:val="32"/>
          <w:lang w:val="en-US" w:eastAsia="zh-CN"/>
        </w:rPr>
        <w:t>贯彻执行</w:t>
      </w:r>
      <w:r>
        <w:rPr>
          <w:rFonts w:hint="default" w:ascii="Times New Roman" w:hAnsi="Times New Roman" w:eastAsia="方正仿宋_GBK" w:cs="Times New Roman"/>
          <w:color w:val="000000"/>
          <w:sz w:val="32"/>
          <w:szCs w:val="32"/>
          <w:lang w:eastAsia="zh-CN"/>
        </w:rPr>
        <w:t>。</w:t>
      </w:r>
    </w:p>
    <w:p>
      <w:pPr>
        <w:pStyle w:val="17"/>
        <w:rPr>
          <w:rFonts w:hint="default" w:ascii="Times New Roman" w:hAnsi="Times New Roman" w:cs="Times New Roman"/>
          <w:sz w:val="32"/>
          <w:szCs w:val="32"/>
        </w:rPr>
      </w:pPr>
    </w:p>
    <w:p>
      <w:pPr>
        <w:keepNext w:val="0"/>
        <w:keepLines w:val="0"/>
        <w:pageBreakBefore w:val="0"/>
        <w:widowControl w:val="0"/>
        <w:tabs>
          <w:tab w:val="left" w:pos="5056"/>
        </w:tabs>
        <w:kinsoku/>
        <w:wordWrap w:val="0"/>
        <w:overflowPunct/>
        <w:topLinePunct w:val="0"/>
        <w:autoSpaceDE/>
        <w:autoSpaceDN/>
        <w:bidi w:val="0"/>
        <w:adjustRightInd/>
        <w:snapToGrid/>
        <w:spacing w:line="579" w:lineRule="exact"/>
        <w:ind w:firstLine="640" w:firstLineChars="20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重庆市黔江区人民政府</w:t>
      </w:r>
      <w:r>
        <w:rPr>
          <w:rFonts w:hint="default" w:ascii="Times New Roman" w:hAnsi="Times New Roman" w:eastAsia="方正仿宋_GBK" w:cs="Times New Roman"/>
          <w:sz w:val="32"/>
          <w:szCs w:val="32"/>
          <w:lang w:val="en-US" w:eastAsia="zh-CN"/>
        </w:rPr>
        <w:t xml:space="preserve">办公室   </w:t>
      </w:r>
    </w:p>
    <w:p>
      <w:pPr>
        <w:keepNext w:val="0"/>
        <w:keepLines w:val="0"/>
        <w:pageBreakBefore w:val="0"/>
        <w:widowControl w:val="0"/>
        <w:tabs>
          <w:tab w:val="left" w:pos="5372"/>
        </w:tabs>
        <w:kinsoku/>
        <w:wordWrap/>
        <w:overflowPunct/>
        <w:topLinePunct w:val="0"/>
        <w:autoSpaceDE/>
        <w:autoSpaceDN/>
        <w:bidi w:val="0"/>
        <w:adjustRightInd/>
        <w:snapToGrid/>
        <w:spacing w:line="579" w:lineRule="exact"/>
        <w:ind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2021年</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月</w:t>
      </w:r>
      <w:r>
        <w:rPr>
          <w:rFonts w:hint="eastAsia" w:eastAsia="方正仿宋_GBK" w:cs="Times New Roman"/>
          <w:sz w:val="32"/>
          <w:szCs w:val="32"/>
          <w:lang w:val="en-US" w:eastAsia="zh-CN"/>
        </w:rPr>
        <w:t>23</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小标宋_GBK" w:cs="Times New Roman"/>
          <w:sz w:val="44"/>
          <w:szCs w:val="44"/>
        </w:rPr>
      </w:pPr>
      <w:r>
        <w:rPr>
          <w:rFonts w:hint="default" w:ascii="Times New Roman" w:hAnsi="Times New Roman" w:eastAsia="方正仿宋_GBK" w:cs="Times New Roman"/>
          <w:sz w:val="32"/>
          <w:szCs w:val="32"/>
        </w:rPr>
        <w:t>（此件公开发布）</w:t>
      </w:r>
    </w:p>
    <w:p>
      <w:pPr>
        <w:snapToGrid w:val="0"/>
        <w:spacing w:line="560" w:lineRule="exact"/>
        <w:ind w:firstLine="0" w:firstLineChars="0"/>
        <w:jc w:val="center"/>
        <w:rPr>
          <w:rFonts w:hint="default" w:ascii="Times New Roman" w:hAnsi="Times New Roman" w:eastAsia="方正小标宋_GBK" w:cs="Times New Roman"/>
          <w:sz w:val="44"/>
          <w:szCs w:val="44"/>
        </w:rPr>
      </w:pPr>
    </w:p>
    <w:p>
      <w:pPr>
        <w:snapToGrid w:val="0"/>
        <w:spacing w:line="560" w:lineRule="exact"/>
        <w:ind w:firstLine="0" w:firstLineChars="0"/>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黔江区城市供水“十四五”专项规划</w:t>
      </w:r>
    </w:p>
    <w:sdt>
      <w:sdtPr>
        <w:rPr>
          <w:rFonts w:hint="default" w:ascii="Times New Roman" w:hAnsi="Times New Roman" w:eastAsia="黑体" w:cs="Times New Roman"/>
          <w:b/>
          <w:bCs/>
          <w:caps/>
          <w:color w:val="000000"/>
          <w:sz w:val="36"/>
          <w:szCs w:val="36"/>
        </w:rPr>
        <w:id w:val="11928713"/>
      </w:sdtPr>
      <w:sdtEndPr>
        <w:rPr>
          <w:rFonts w:hint="default" w:ascii="Times New Roman" w:hAnsi="Times New Roman" w:eastAsia="方正楷体_GBK" w:cs="Times New Roman"/>
          <w:b/>
          <w:bCs/>
          <w:caps/>
          <w:color w:val="auto"/>
          <w:sz w:val="28"/>
          <w:szCs w:val="20"/>
        </w:rPr>
      </w:sdtEndPr>
      <w:sdtContent>
        <w:p>
          <w:pPr>
            <w:spacing w:line="560" w:lineRule="exact"/>
            <w:ind w:firstLine="0" w:firstLineChars="0"/>
            <w:jc w:val="center"/>
            <w:rPr>
              <w:rFonts w:hint="default" w:ascii="Times New Roman" w:hAnsi="Times New Roman" w:eastAsia="黑体" w:cs="Times New Roman"/>
              <w:b/>
              <w:color w:val="000000"/>
              <w:sz w:val="36"/>
              <w:szCs w:val="36"/>
            </w:rPr>
          </w:pPr>
          <w:r>
            <w:rPr>
              <w:rFonts w:hint="default" w:ascii="Times New Roman" w:hAnsi="Times New Roman" w:eastAsia="黑体" w:cs="Times New Roman"/>
              <w:b/>
              <w:bCs/>
              <w:caps/>
              <w:color w:val="000000"/>
              <w:sz w:val="36"/>
              <w:szCs w:val="36"/>
              <w:lang w:eastAsia="zh-CN"/>
            </w:rPr>
            <w:t>目</w:t>
          </w:r>
          <w:r>
            <w:rPr>
              <w:rFonts w:hint="default" w:ascii="Times New Roman" w:hAnsi="Times New Roman" w:eastAsia="黑体" w:cs="Times New Roman"/>
              <w:b/>
              <w:bCs/>
              <w:caps/>
              <w:color w:val="000000"/>
              <w:sz w:val="36"/>
              <w:szCs w:val="36"/>
              <w:lang w:val="en-US" w:eastAsia="zh-CN"/>
            </w:rPr>
            <w:t xml:space="preserve">  </w:t>
          </w:r>
          <w:r>
            <w:rPr>
              <w:rFonts w:hint="default" w:ascii="Times New Roman" w:hAnsi="Times New Roman" w:eastAsia="黑体" w:cs="Times New Roman"/>
              <w:b/>
              <w:color w:val="000000"/>
              <w:sz w:val="36"/>
              <w:szCs w:val="36"/>
            </w:rPr>
            <w:t>录</w:t>
          </w:r>
        </w:p>
        <w:p>
          <w:pPr>
            <w:pStyle w:val="9"/>
            <w:tabs>
              <w:tab w:val="right" w:leader="dot" w:pos="8846"/>
            </w:tabs>
          </w:pPr>
          <w:r>
            <w:rPr>
              <w:rFonts w:hint="default" w:ascii="Times New Roman" w:hAnsi="Times New Roman" w:eastAsia="楷体" w:cs="Times New Roman"/>
              <w:b w:val="0"/>
              <w:bCs w:val="0"/>
              <w:caps w:val="0"/>
              <w:sz w:val="24"/>
              <w:szCs w:val="24"/>
            </w:rPr>
            <w:fldChar w:fldCharType="begin"/>
          </w:r>
          <w:r>
            <w:rPr>
              <w:rFonts w:hint="default" w:ascii="Times New Roman" w:hAnsi="Times New Roman" w:eastAsia="楷体" w:cs="Times New Roman"/>
              <w:b w:val="0"/>
              <w:bCs w:val="0"/>
              <w:caps w:val="0"/>
              <w:sz w:val="24"/>
              <w:szCs w:val="24"/>
            </w:rPr>
            <w:instrText xml:space="preserve"> TOC \o "1-3" \h \z \u </w:instrText>
          </w:r>
          <w:r>
            <w:rPr>
              <w:rFonts w:hint="default" w:ascii="Times New Roman" w:hAnsi="Times New Roman" w:eastAsia="楷体" w:cs="Times New Roman"/>
              <w:b w:val="0"/>
              <w:bCs w:val="0"/>
              <w:caps w:val="0"/>
              <w:sz w:val="24"/>
              <w:szCs w:val="24"/>
            </w:rPr>
            <w:fldChar w:fldCharType="separate"/>
          </w: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_Toc14035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第一章 总</w:t>
          </w:r>
          <w:r>
            <w:rPr>
              <w:rFonts w:hint="default" w:ascii="Times New Roman" w:hAnsi="Times New Roman" w:eastAsia="方正小标宋_GBK" w:cs="Times New Roman"/>
              <w:bCs w:val="0"/>
              <w:szCs w:val="44"/>
              <w:lang w:val="en-US" w:eastAsia="zh-CN"/>
            </w:rPr>
            <w:t xml:space="preserve"> </w:t>
          </w:r>
          <w:r>
            <w:rPr>
              <w:rFonts w:hint="default" w:ascii="Times New Roman" w:hAnsi="Times New Roman" w:eastAsia="方正小标宋_GBK" w:cs="Times New Roman"/>
              <w:bCs w:val="0"/>
              <w:szCs w:val="44"/>
            </w:rPr>
            <w:t>则</w:t>
          </w:r>
          <w:r>
            <w:tab/>
          </w:r>
          <w:r>
            <w:fldChar w:fldCharType="begin"/>
          </w:r>
          <w:r>
            <w:instrText xml:space="preserve"> PAGEREF _Toc14035 </w:instrText>
          </w:r>
          <w:r>
            <w:fldChar w:fldCharType="separate"/>
          </w:r>
          <w:r>
            <w:t>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_Toc7557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一、规划范围</w:t>
          </w:r>
          <w:r>
            <w:tab/>
          </w:r>
          <w:r>
            <w:fldChar w:fldCharType="begin"/>
          </w:r>
          <w:r>
            <w:instrText xml:space="preserve"> PAGEREF _Toc7557 </w:instrText>
          </w:r>
          <w:r>
            <w:fldChar w:fldCharType="separate"/>
          </w:r>
          <w:r>
            <w:t>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_Toc18732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二、规划年限</w:t>
          </w:r>
          <w:r>
            <w:tab/>
          </w:r>
          <w:r>
            <w:fldChar w:fldCharType="begin"/>
          </w:r>
          <w:r>
            <w:instrText xml:space="preserve"> PAGEREF _Toc18732 </w:instrText>
          </w:r>
          <w:r>
            <w:fldChar w:fldCharType="separate"/>
          </w:r>
          <w:r>
            <w:t>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_Toc11892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三、规划目标</w:t>
          </w:r>
          <w:r>
            <w:tab/>
          </w:r>
          <w:r>
            <w:fldChar w:fldCharType="begin"/>
          </w:r>
          <w:r>
            <w:instrText xml:space="preserve"> PAGEREF _Toc11892 </w:instrText>
          </w:r>
          <w:r>
            <w:fldChar w:fldCharType="separate"/>
          </w:r>
          <w:r>
            <w:t>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_Toc28562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四、规划原则</w:t>
          </w:r>
          <w:r>
            <w:tab/>
          </w:r>
          <w:r>
            <w:fldChar w:fldCharType="begin"/>
          </w:r>
          <w:r>
            <w:instrText xml:space="preserve"> PAGEREF _Toc28562 </w:instrText>
          </w:r>
          <w:r>
            <w:fldChar w:fldCharType="separate"/>
          </w:r>
          <w:r>
            <w:t>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_Toc7244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五、指导思想</w:t>
          </w:r>
          <w:r>
            <w:tab/>
          </w:r>
          <w:r>
            <w:fldChar w:fldCharType="begin"/>
          </w:r>
          <w:r>
            <w:instrText xml:space="preserve"> PAGEREF _Toc7244 </w:instrText>
          </w:r>
          <w:r>
            <w:fldChar w:fldCharType="separate"/>
          </w:r>
          <w:r>
            <w:t>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_Toc15633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六、规划目标及指标</w:t>
          </w:r>
          <w:r>
            <w:tab/>
          </w:r>
          <w:r>
            <w:fldChar w:fldCharType="begin"/>
          </w:r>
          <w:r>
            <w:instrText xml:space="preserve"> PAGEREF _Toc15633 </w:instrText>
          </w:r>
          <w:r>
            <w:fldChar w:fldCharType="separate"/>
          </w:r>
          <w:r>
            <w:t>6</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_Toc16469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第二章 供水基本情况</w:t>
          </w:r>
          <w:r>
            <w:tab/>
          </w:r>
          <w:r>
            <w:fldChar w:fldCharType="begin"/>
          </w:r>
          <w:r>
            <w:instrText xml:space="preserve"> PAGEREF _Toc16469 </w:instrText>
          </w:r>
          <w:r>
            <w:fldChar w:fldCharType="separate"/>
          </w:r>
          <w:r>
            <w:t>8</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_Toc13949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一、供水系统现状</w:t>
          </w:r>
          <w:r>
            <w:tab/>
          </w:r>
          <w:r>
            <w:fldChar w:fldCharType="begin"/>
          </w:r>
          <w:r>
            <w:instrText xml:space="preserve"> PAGEREF _Toc13949 </w:instrText>
          </w:r>
          <w:r>
            <w:fldChar w:fldCharType="separate"/>
          </w:r>
          <w:r>
            <w:t>8</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_Toc540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二、水厂现状</w:t>
          </w:r>
          <w:r>
            <w:tab/>
          </w:r>
          <w:r>
            <w:fldChar w:fldCharType="begin"/>
          </w:r>
          <w:r>
            <w:instrText xml:space="preserve"> PAGEREF _Toc540 </w:instrText>
          </w:r>
          <w:r>
            <w:fldChar w:fldCharType="separate"/>
          </w:r>
          <w:r>
            <w:t>9</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_Toc19239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三、供水管网现状</w:t>
          </w:r>
          <w:r>
            <w:tab/>
          </w:r>
          <w:r>
            <w:fldChar w:fldCharType="begin"/>
          </w:r>
          <w:r>
            <w:instrText xml:space="preserve"> PAGEREF _Toc19239 </w:instrText>
          </w:r>
          <w:r>
            <w:fldChar w:fldCharType="separate"/>
          </w:r>
          <w:r>
            <w:t>11</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_Toc2493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第三章 “十三五”规划回顾与总结</w:t>
          </w:r>
          <w:r>
            <w:tab/>
          </w:r>
          <w:r>
            <w:fldChar w:fldCharType="begin"/>
          </w:r>
          <w:r>
            <w:instrText xml:space="preserve"> PAGEREF _Toc2493 </w:instrText>
          </w:r>
          <w:r>
            <w:fldChar w:fldCharType="separate"/>
          </w:r>
          <w:r>
            <w:t>14</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_Toc26761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一、“十三五”规划目标与任务概述</w:t>
          </w:r>
          <w:r>
            <w:tab/>
          </w:r>
          <w:r>
            <w:fldChar w:fldCharType="begin"/>
          </w:r>
          <w:r>
            <w:instrText xml:space="preserve"> PAGEREF _Toc26761 </w:instrText>
          </w:r>
          <w:r>
            <w:fldChar w:fldCharType="separate"/>
          </w:r>
          <w:r>
            <w:t>14</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_Toc1389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二、水厂项目完成情况</w:t>
          </w:r>
          <w:r>
            <w:tab/>
          </w:r>
          <w:r>
            <w:fldChar w:fldCharType="begin"/>
          </w:r>
          <w:r>
            <w:instrText xml:space="preserve"> PAGEREF _Toc1389 </w:instrText>
          </w:r>
          <w:r>
            <w:fldChar w:fldCharType="separate"/>
          </w:r>
          <w:r>
            <w:t>17</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_Toc10265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三、管网项目完成情况</w:t>
          </w:r>
          <w:r>
            <w:tab/>
          </w:r>
          <w:r>
            <w:fldChar w:fldCharType="begin"/>
          </w:r>
          <w:r>
            <w:instrText xml:space="preserve"> PAGEREF _Toc10265 </w:instrText>
          </w:r>
          <w:r>
            <w:fldChar w:fldCharType="separate"/>
          </w:r>
          <w:r>
            <w:t>17</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_Toc9337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四、主要供水规划指标完成情况</w:t>
          </w:r>
          <w:r>
            <w:tab/>
          </w:r>
          <w:r>
            <w:fldChar w:fldCharType="begin"/>
          </w:r>
          <w:r>
            <w:instrText xml:space="preserve"> PAGEREF _Toc9337 </w:instrText>
          </w:r>
          <w:r>
            <w:fldChar w:fldCharType="separate"/>
          </w:r>
          <w:r>
            <w:t>20</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_Toc20702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第四章 水量预测</w:t>
          </w:r>
          <w:r>
            <w:tab/>
          </w:r>
          <w:r>
            <w:fldChar w:fldCharType="begin"/>
          </w:r>
          <w:r>
            <w:instrText xml:space="preserve"> PAGEREF _Toc20702 </w:instrText>
          </w:r>
          <w:r>
            <w:fldChar w:fldCharType="separate"/>
          </w:r>
          <w:r>
            <w:t>20</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_Toc15122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一、预测方法</w:t>
          </w:r>
          <w:r>
            <w:tab/>
          </w:r>
          <w:r>
            <w:fldChar w:fldCharType="begin"/>
          </w:r>
          <w:r>
            <w:instrText xml:space="preserve"> PAGEREF _Toc15122 </w:instrText>
          </w:r>
          <w:r>
            <w:fldChar w:fldCharType="separate"/>
          </w:r>
          <w:r>
            <w:t>20</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_Toc29308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二、主要参数确定</w:t>
          </w:r>
          <w:r>
            <w:tab/>
          </w:r>
          <w:r>
            <w:fldChar w:fldCharType="begin"/>
          </w:r>
          <w:r>
            <w:instrText xml:space="preserve"> PAGEREF _Toc29308 </w:instrText>
          </w:r>
          <w:r>
            <w:fldChar w:fldCharType="separate"/>
          </w:r>
          <w:r>
            <w:t>21</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_Toc23965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三、水量预测</w:t>
          </w:r>
          <w:r>
            <w:tab/>
          </w:r>
          <w:r>
            <w:fldChar w:fldCharType="begin"/>
          </w:r>
          <w:r>
            <w:instrText xml:space="preserve"> PAGEREF _Toc23965 </w:instrText>
          </w:r>
          <w:r>
            <w:fldChar w:fldCharType="separate"/>
          </w:r>
          <w:r>
            <w:t>23</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_Toc19920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第五章 城市供水水源</w:t>
          </w:r>
          <w:r>
            <w:tab/>
          </w:r>
          <w:r>
            <w:fldChar w:fldCharType="begin"/>
          </w:r>
          <w:r>
            <w:instrText xml:space="preserve"> PAGEREF _Toc19920 </w:instrText>
          </w:r>
          <w:r>
            <w:fldChar w:fldCharType="separate"/>
          </w:r>
          <w:r>
            <w:t>28</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_Toc30561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一、现状水源</w:t>
          </w:r>
          <w:r>
            <w:tab/>
          </w:r>
          <w:r>
            <w:fldChar w:fldCharType="begin"/>
          </w:r>
          <w:r>
            <w:instrText xml:space="preserve"> PAGEREF _Toc30561 </w:instrText>
          </w:r>
          <w:r>
            <w:fldChar w:fldCharType="separate"/>
          </w:r>
          <w:r>
            <w:t>28</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_Toc8031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lang w:eastAsia="zh-CN"/>
            </w:rPr>
            <w:t>二</w:t>
          </w:r>
          <w:r>
            <w:rPr>
              <w:rFonts w:hint="default" w:ascii="Times New Roman" w:hAnsi="Times New Roman" w:eastAsia="方正黑体_GBK" w:cs="Times New Roman"/>
              <w:bCs/>
              <w:kern w:val="2"/>
              <w:szCs w:val="32"/>
            </w:rPr>
            <w:t>、供水水源选择</w:t>
          </w:r>
          <w:r>
            <w:tab/>
          </w:r>
          <w:r>
            <w:fldChar w:fldCharType="begin"/>
          </w:r>
          <w:r>
            <w:instrText xml:space="preserve"> PAGEREF _Toc8031 </w:instrText>
          </w:r>
          <w:r>
            <w:fldChar w:fldCharType="separate"/>
          </w:r>
          <w:r>
            <w:t>29</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_Toc16328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lang w:eastAsia="zh-CN"/>
            </w:rPr>
            <w:t>三</w:t>
          </w:r>
          <w:r>
            <w:rPr>
              <w:rFonts w:hint="default" w:ascii="Times New Roman" w:hAnsi="Times New Roman" w:eastAsia="方正黑体_GBK" w:cs="Times New Roman"/>
              <w:bCs/>
              <w:kern w:val="2"/>
              <w:szCs w:val="32"/>
            </w:rPr>
            <w:t>、应急备用水源规划</w:t>
          </w:r>
          <w:r>
            <w:tab/>
          </w:r>
          <w:r>
            <w:fldChar w:fldCharType="begin"/>
          </w:r>
          <w:r>
            <w:instrText xml:space="preserve"> PAGEREF _Toc16328 </w:instrText>
          </w:r>
          <w:r>
            <w:fldChar w:fldCharType="separate"/>
          </w:r>
          <w:r>
            <w:t>31</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_Toc16914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lang w:eastAsia="zh-CN"/>
            </w:rPr>
            <w:t>四</w:t>
          </w:r>
          <w:r>
            <w:rPr>
              <w:rFonts w:hint="default" w:ascii="Times New Roman" w:hAnsi="Times New Roman" w:eastAsia="方正黑体_GBK" w:cs="Times New Roman"/>
              <w:bCs/>
              <w:kern w:val="2"/>
              <w:szCs w:val="32"/>
            </w:rPr>
            <w:t>、取水工程规划</w:t>
          </w:r>
          <w:r>
            <w:tab/>
          </w:r>
          <w:r>
            <w:fldChar w:fldCharType="begin"/>
          </w:r>
          <w:r>
            <w:instrText xml:space="preserve"> PAGEREF _Toc16914 </w:instrText>
          </w:r>
          <w:r>
            <w:fldChar w:fldCharType="separate"/>
          </w:r>
          <w:r>
            <w:t>32</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_Toc19091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仿宋_GBK" w:cs="Times New Roman"/>
              <w:spacing w:val="-6"/>
              <w:szCs w:val="32"/>
            </w:rPr>
            <w:t>表5-2 取水工程规划一览表</w:t>
          </w:r>
          <w:r>
            <w:tab/>
          </w:r>
          <w:r>
            <w:fldChar w:fldCharType="begin"/>
          </w:r>
          <w:r>
            <w:instrText xml:space="preserve"> PAGEREF _Toc19091 </w:instrText>
          </w:r>
          <w:r>
            <w:fldChar w:fldCharType="separate"/>
          </w:r>
          <w:r>
            <w:t>32</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_Toc5411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lang w:eastAsia="zh-CN"/>
            </w:rPr>
            <w:t>五</w:t>
          </w:r>
          <w:r>
            <w:rPr>
              <w:rFonts w:hint="default" w:ascii="Times New Roman" w:hAnsi="Times New Roman" w:eastAsia="方正黑体_GBK" w:cs="Times New Roman"/>
              <w:bCs/>
              <w:kern w:val="2"/>
              <w:szCs w:val="32"/>
            </w:rPr>
            <w:t>、水源保护措施</w:t>
          </w:r>
          <w:r>
            <w:tab/>
          </w:r>
          <w:r>
            <w:fldChar w:fldCharType="begin"/>
          </w:r>
          <w:r>
            <w:instrText xml:space="preserve"> PAGEREF _Toc5411 </w:instrText>
          </w:r>
          <w:r>
            <w:fldChar w:fldCharType="separate"/>
          </w:r>
          <w:r>
            <w:t>32</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_Toc4777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第六章 水厂规划</w:t>
          </w:r>
          <w:r>
            <w:tab/>
          </w:r>
          <w:r>
            <w:fldChar w:fldCharType="begin"/>
          </w:r>
          <w:r>
            <w:instrText xml:space="preserve"> PAGEREF _Toc4777 </w:instrText>
          </w:r>
          <w:r>
            <w:fldChar w:fldCharType="separate"/>
          </w:r>
          <w:r>
            <w:t>35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_Toc9766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一、水厂规划规模及实施时序</w:t>
          </w:r>
          <w:r>
            <w:tab/>
          </w:r>
          <w:r>
            <w:fldChar w:fldCharType="begin"/>
          </w:r>
          <w:r>
            <w:instrText xml:space="preserve"> PAGEREF _Toc9766 </w:instrText>
          </w:r>
          <w:r>
            <w:fldChar w:fldCharType="separate"/>
          </w:r>
          <w:r>
            <w:t>35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_Toc7278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二、水厂厂址规划及用地情况</w:t>
          </w:r>
          <w:r>
            <w:tab/>
          </w:r>
          <w:r>
            <w:fldChar w:fldCharType="begin"/>
          </w:r>
          <w:r>
            <w:instrText xml:space="preserve"> PAGEREF _Toc7278 </w:instrText>
          </w:r>
          <w:r>
            <w:fldChar w:fldCharType="separate"/>
          </w:r>
          <w:r>
            <w:t>37</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_Toc26765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三、水厂处理工艺</w:t>
          </w:r>
          <w:r>
            <w:tab/>
          </w:r>
          <w:r>
            <w:fldChar w:fldCharType="begin"/>
          </w:r>
          <w:r>
            <w:instrText xml:space="preserve"> PAGEREF _Toc26765 </w:instrText>
          </w:r>
          <w:r>
            <w:fldChar w:fldCharType="separate"/>
          </w:r>
          <w:r>
            <w:t>38</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_Toc29634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四、水厂尾泥处置规划</w:t>
          </w:r>
          <w:r>
            <w:tab/>
          </w:r>
          <w:r>
            <w:fldChar w:fldCharType="begin"/>
          </w:r>
          <w:r>
            <w:instrText xml:space="preserve"> PAGEREF _Toc29634 </w:instrText>
          </w:r>
          <w:r>
            <w:fldChar w:fldCharType="separate"/>
          </w:r>
          <w:r>
            <w:t>39</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_Toc19992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第七章 输配水系统规划</w:t>
          </w:r>
          <w:r>
            <w:tab/>
          </w:r>
          <w:r>
            <w:fldChar w:fldCharType="begin"/>
          </w:r>
          <w:r>
            <w:instrText xml:space="preserve"> PAGEREF _Toc19992 </w:instrText>
          </w:r>
          <w:r>
            <w:fldChar w:fldCharType="separate"/>
          </w:r>
          <w:r>
            <w:t>40</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_Toc11041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一、压泵站规划</w:t>
          </w:r>
          <w:r>
            <w:tab/>
          </w:r>
          <w:r>
            <w:fldChar w:fldCharType="begin"/>
          </w:r>
          <w:r>
            <w:instrText xml:space="preserve"> PAGEREF _Toc11041 </w:instrText>
          </w:r>
          <w:r>
            <w:fldChar w:fldCharType="separate"/>
          </w:r>
          <w:r>
            <w:t>40</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_Toc28697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二、管网规划</w:t>
          </w:r>
          <w:r>
            <w:tab/>
          </w:r>
          <w:r>
            <w:fldChar w:fldCharType="begin"/>
          </w:r>
          <w:r>
            <w:instrText xml:space="preserve"> PAGEREF _Toc28697 </w:instrText>
          </w:r>
          <w:r>
            <w:fldChar w:fldCharType="separate"/>
          </w:r>
          <w:r>
            <w:t>41</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_Toc27756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三、管材选择建议</w:t>
          </w:r>
          <w:r>
            <w:tab/>
          </w:r>
          <w:r>
            <w:fldChar w:fldCharType="begin"/>
          </w:r>
          <w:r>
            <w:instrText xml:space="preserve"> PAGEREF _Toc27756 </w:instrText>
          </w:r>
          <w:r>
            <w:fldChar w:fldCharType="separate"/>
          </w:r>
          <w:r>
            <w:t>44</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_Toc14188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第八章 应急保障规划</w:t>
          </w:r>
          <w:r>
            <w:tab/>
          </w:r>
          <w:r>
            <w:fldChar w:fldCharType="begin"/>
          </w:r>
          <w:r>
            <w:instrText xml:space="preserve"> PAGEREF _Toc14188 </w:instrText>
          </w:r>
          <w:r>
            <w:fldChar w:fldCharType="separate"/>
          </w:r>
          <w:r>
            <w:t>44</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_Toc29039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一、水源应急保障规划</w:t>
          </w:r>
          <w:r>
            <w:tab/>
          </w:r>
          <w:r>
            <w:fldChar w:fldCharType="begin"/>
          </w:r>
          <w:r>
            <w:instrText xml:space="preserve"> PAGEREF _Toc29039 </w:instrText>
          </w:r>
          <w:r>
            <w:fldChar w:fldCharType="separate"/>
          </w:r>
          <w:r>
            <w:t>44</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_Toc8593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二、水厂应急保障规划</w:t>
          </w:r>
          <w:r>
            <w:tab/>
          </w:r>
          <w:r>
            <w:fldChar w:fldCharType="begin"/>
          </w:r>
          <w:r>
            <w:instrText xml:space="preserve"> PAGEREF _Toc8593 </w:instrText>
          </w:r>
          <w:r>
            <w:fldChar w:fldCharType="separate"/>
          </w:r>
          <w:r>
            <w:t>45</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_Toc10524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三、应急管理规划</w:t>
          </w:r>
          <w:r>
            <w:tab/>
          </w:r>
          <w:r>
            <w:fldChar w:fldCharType="begin"/>
          </w:r>
          <w:r>
            <w:instrText xml:space="preserve"> PAGEREF _Toc10524 </w:instrText>
          </w:r>
          <w:r>
            <w:fldChar w:fldCharType="separate"/>
          </w:r>
          <w:r>
            <w:t>46</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_Toc29525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第九章 城市节水规划</w:t>
          </w:r>
          <w:r>
            <w:tab/>
          </w:r>
          <w:r>
            <w:fldChar w:fldCharType="begin"/>
          </w:r>
          <w:r>
            <w:instrText xml:space="preserve"> PAGEREF _Toc29525 </w:instrText>
          </w:r>
          <w:r>
            <w:fldChar w:fldCharType="separate"/>
          </w:r>
          <w:r>
            <w:t>47</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_Toc14351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一、节约用水措施</w:t>
          </w:r>
          <w:r>
            <w:tab/>
          </w:r>
          <w:r>
            <w:fldChar w:fldCharType="begin"/>
          </w:r>
          <w:r>
            <w:instrText xml:space="preserve"> PAGEREF _Toc14351 </w:instrText>
          </w:r>
          <w:r>
            <w:fldChar w:fldCharType="separate"/>
          </w:r>
          <w:r>
            <w:t>47</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_Toc28127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二、再生水利用规划</w:t>
          </w:r>
          <w:r>
            <w:tab/>
          </w:r>
          <w:r>
            <w:fldChar w:fldCharType="begin"/>
          </w:r>
          <w:r>
            <w:instrText xml:space="preserve"> PAGEREF _Toc28127 </w:instrText>
          </w:r>
          <w:r>
            <w:fldChar w:fldCharType="separate"/>
          </w:r>
          <w:r>
            <w:t>48</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_Toc13796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三、管网漏损控制</w:t>
          </w:r>
          <w:r>
            <w:tab/>
          </w:r>
          <w:r>
            <w:fldChar w:fldCharType="begin"/>
          </w:r>
          <w:r>
            <w:instrText xml:space="preserve"> PAGEREF _Toc13796 </w:instrText>
          </w:r>
          <w:r>
            <w:fldChar w:fldCharType="separate"/>
          </w:r>
          <w:r>
            <w:t>49</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_Toc296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第十章 智慧水务规划</w:t>
          </w:r>
          <w:r>
            <w:tab/>
          </w:r>
          <w:r>
            <w:fldChar w:fldCharType="begin"/>
          </w:r>
          <w:r>
            <w:instrText xml:space="preserve"> PAGEREF _Toc296 </w:instrText>
          </w:r>
          <w:r>
            <w:fldChar w:fldCharType="separate"/>
          </w:r>
          <w:r>
            <w:t>50</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_Toc22099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一、智慧水务主要建设内容</w:t>
          </w:r>
          <w:r>
            <w:tab/>
          </w:r>
          <w:r>
            <w:fldChar w:fldCharType="begin"/>
          </w:r>
          <w:r>
            <w:instrText xml:space="preserve"> PAGEREF _Toc22099 </w:instrText>
          </w:r>
          <w:r>
            <w:fldChar w:fldCharType="separate"/>
          </w:r>
          <w:r>
            <w:t>50</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_Toc3872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二、智慧水务建设时序安排</w:t>
          </w:r>
          <w:r>
            <w:tab/>
          </w:r>
          <w:r>
            <w:fldChar w:fldCharType="begin"/>
          </w:r>
          <w:r>
            <w:instrText xml:space="preserve"> PAGEREF _Toc3872 </w:instrText>
          </w:r>
          <w:r>
            <w:fldChar w:fldCharType="separate"/>
          </w:r>
          <w:r>
            <w:t>50</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_Toc25661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第十一章 供水管理及服务</w:t>
          </w:r>
          <w:r>
            <w:tab/>
          </w:r>
          <w:r>
            <w:fldChar w:fldCharType="begin"/>
          </w:r>
          <w:r>
            <w:instrText xml:space="preserve"> PAGEREF _Toc25661 </w:instrText>
          </w:r>
          <w:r>
            <w:fldChar w:fldCharType="separate"/>
          </w:r>
          <w:r>
            <w:t>52</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_Toc11535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一、城市供水管理制度</w:t>
          </w:r>
          <w:r>
            <w:tab/>
          </w:r>
          <w:r>
            <w:fldChar w:fldCharType="begin"/>
          </w:r>
          <w:r>
            <w:instrText xml:space="preserve"> PAGEREF _Toc11535 </w:instrText>
          </w:r>
          <w:r>
            <w:fldChar w:fldCharType="separate"/>
          </w:r>
          <w:r>
            <w:t>52</w:t>
          </w:r>
          <w:r>
            <w:fldChar w:fldCharType="end"/>
          </w:r>
          <w:r>
            <w:rPr>
              <w:rFonts w:hint="default" w:ascii="Times New Roman" w:hAnsi="Times New Roman" w:eastAsia="楷体" w:cs="Times New Roman"/>
              <w:bCs w:val="0"/>
              <w:caps w:val="0"/>
              <w:szCs w:val="24"/>
            </w:rPr>
            <w:fldChar w:fldCharType="end"/>
          </w:r>
        </w:p>
        <w:p>
          <w:pPr>
            <w:pStyle w:val="10"/>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_Toc26121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黑体_GBK" w:cs="Times New Roman"/>
              <w:bCs/>
              <w:kern w:val="2"/>
              <w:szCs w:val="32"/>
            </w:rPr>
            <w:t>三、城市供水运营服务和应急维修抢修</w:t>
          </w:r>
          <w:r>
            <w:tab/>
          </w:r>
          <w:r>
            <w:fldChar w:fldCharType="begin"/>
          </w:r>
          <w:r>
            <w:instrText xml:space="preserve"> PAGEREF _Toc26121 </w:instrText>
          </w:r>
          <w:r>
            <w:fldChar w:fldCharType="separate"/>
          </w:r>
          <w:r>
            <w:t>53</w:t>
          </w:r>
          <w:r>
            <w:fldChar w:fldCharType="end"/>
          </w:r>
          <w:r>
            <w:rPr>
              <w:rFonts w:hint="default" w:ascii="Times New Roman" w:hAnsi="Times New Roman" w:eastAsia="楷体" w:cs="Times New Roman"/>
              <w:bCs w:val="0"/>
              <w:caps w:val="0"/>
              <w:szCs w:val="24"/>
            </w:rPr>
            <w:fldChar w:fldCharType="end"/>
          </w:r>
        </w:p>
        <w:p>
          <w:pPr>
            <w:pStyle w:val="9"/>
            <w:tabs>
              <w:tab w:val="right" w:leader="dot" w:pos="8846"/>
            </w:tabs>
          </w:pPr>
          <w:r>
            <w:rPr>
              <w:rFonts w:hint="default" w:ascii="Times New Roman" w:hAnsi="Times New Roman" w:eastAsia="楷体" w:cs="Times New Roman"/>
              <w:bCs w:val="0"/>
              <w:caps w:val="0"/>
              <w:szCs w:val="24"/>
            </w:rPr>
            <w:fldChar w:fldCharType="begin"/>
          </w:r>
          <w:r>
            <w:rPr>
              <w:rFonts w:hint="default" w:ascii="Times New Roman" w:hAnsi="Times New Roman" w:eastAsia="楷体" w:cs="Times New Roman"/>
              <w:bCs w:val="0"/>
              <w:caps w:val="0"/>
              <w:szCs w:val="24"/>
            </w:rPr>
            <w:instrText xml:space="preserve"> HYPERLINK \l _Toc31993 </w:instrText>
          </w:r>
          <w:r>
            <w:rPr>
              <w:rFonts w:hint="default" w:ascii="Times New Roman" w:hAnsi="Times New Roman" w:eastAsia="楷体" w:cs="Times New Roman"/>
              <w:bCs w:val="0"/>
              <w:caps w:val="0"/>
              <w:szCs w:val="24"/>
            </w:rPr>
            <w:fldChar w:fldCharType="separate"/>
          </w:r>
          <w:r>
            <w:rPr>
              <w:rFonts w:hint="default" w:ascii="Times New Roman" w:hAnsi="Times New Roman" w:eastAsia="方正小标宋_GBK" w:cs="Times New Roman"/>
              <w:bCs w:val="0"/>
              <w:szCs w:val="44"/>
            </w:rPr>
            <w:t>第十二章 重点项目建设与投资估算</w:t>
          </w:r>
          <w:r>
            <w:tab/>
          </w:r>
          <w:r>
            <w:fldChar w:fldCharType="begin"/>
          </w:r>
          <w:r>
            <w:instrText xml:space="preserve"> PAGEREF _Toc31993 </w:instrText>
          </w:r>
          <w:r>
            <w:fldChar w:fldCharType="separate"/>
          </w:r>
          <w:r>
            <w:t>53</w:t>
          </w:r>
          <w:r>
            <w:fldChar w:fldCharType="end"/>
          </w:r>
          <w:r>
            <w:rPr>
              <w:rFonts w:hint="default" w:ascii="Times New Roman" w:hAnsi="Times New Roman" w:eastAsia="楷体" w:cs="Times New Roman"/>
              <w:bCs w:val="0"/>
              <w:caps w:val="0"/>
              <w:szCs w:val="24"/>
            </w:rPr>
            <w:fldChar w:fldCharType="end"/>
          </w:r>
        </w:p>
        <w:p>
          <w:pPr>
            <w:pStyle w:val="9"/>
            <w:tabs>
              <w:tab w:val="right" w:leader="dot" w:pos="8834"/>
            </w:tabs>
            <w:spacing w:before="0" w:after="0" w:line="560" w:lineRule="exact"/>
            <w:jc w:val="both"/>
            <w:rPr>
              <w:rFonts w:hint="default" w:ascii="Times New Roman" w:hAnsi="Times New Roman" w:eastAsia="方正楷体_GBK" w:cs="Times New Roman"/>
            </w:rPr>
          </w:pPr>
          <w:r>
            <w:rPr>
              <w:rFonts w:hint="default" w:ascii="Times New Roman" w:hAnsi="Times New Roman" w:eastAsia="楷体" w:cs="Times New Roman"/>
              <w:bCs w:val="0"/>
              <w:caps w:val="0"/>
              <w:szCs w:val="24"/>
            </w:rPr>
            <w:fldChar w:fldCharType="end"/>
          </w:r>
        </w:p>
      </w:sdtContent>
    </w:sdt>
    <w:p>
      <w:pPr>
        <w:pStyle w:val="5"/>
        <w:spacing w:line="560" w:lineRule="exact"/>
        <w:ind w:firstLine="560"/>
        <w:rPr>
          <w:rFonts w:hint="default" w:ascii="Times New Roman" w:hAnsi="Times New Roman" w:eastAsia="方正楷体_GBK" w:cs="Times New Roman"/>
        </w:rPr>
        <w:sectPr>
          <w:headerReference r:id="rId5" w:type="default"/>
          <w:footerReference r:id="rId6" w:type="default"/>
          <w:pgSz w:w="11907" w:h="16839"/>
          <w:pgMar w:top="2098" w:right="1474" w:bottom="1984" w:left="1587" w:header="567" w:footer="567" w:gutter="0"/>
          <w:pgNumType w:fmt="decimal"/>
          <w:cols w:space="0" w:num="1"/>
          <w:rtlGutter w:val="0"/>
          <w:docGrid w:type="linesAndChars" w:linePitch="381" w:charSpace="0"/>
        </w:sectPr>
      </w:pPr>
    </w:p>
    <w:bookmarkEnd w:id="0"/>
    <w:p>
      <w:pPr>
        <w:pStyle w:val="4"/>
        <w:keepNext w:val="0"/>
        <w:keepLines w:val="0"/>
        <w:pageBreakBefore w:val="0"/>
        <w:widowControl w:val="0"/>
        <w:kinsoku/>
        <w:wordWrap/>
        <w:overflowPunct/>
        <w:topLinePunct w:val="0"/>
        <w:autoSpaceDE/>
        <w:autoSpaceDN/>
        <w:bidi w:val="0"/>
        <w:adjustRightInd/>
        <w:spacing w:before="0" w:after="0" w:line="560" w:lineRule="exact"/>
        <w:ind w:left="0" w:firstLine="880" w:firstLineChars="200"/>
        <w:textAlignment w:val="auto"/>
        <w:rPr>
          <w:rFonts w:hint="default" w:ascii="Times New Roman" w:hAnsi="Times New Roman" w:eastAsia="方正小标宋_GBK" w:cs="Times New Roman"/>
          <w:b w:val="0"/>
          <w:bCs w:val="0"/>
          <w:sz w:val="44"/>
          <w:szCs w:val="44"/>
        </w:rPr>
      </w:pPr>
      <w:bookmarkStart w:id="1" w:name="_Toc14035"/>
      <w:r>
        <w:rPr>
          <w:rFonts w:hint="default" w:ascii="Times New Roman" w:hAnsi="Times New Roman" w:eastAsia="方正小标宋_GBK" w:cs="Times New Roman"/>
          <w:b w:val="0"/>
          <w:bCs w:val="0"/>
          <w:sz w:val="44"/>
          <w:szCs w:val="44"/>
        </w:rPr>
        <w:t>第一章 总</w:t>
      </w:r>
      <w:r>
        <w:rPr>
          <w:rFonts w:hint="default" w:ascii="Times New Roman" w:hAnsi="Times New Roman" w:eastAsia="方正小标宋_GBK" w:cs="Times New Roman"/>
          <w:b w:val="0"/>
          <w:bCs w:val="0"/>
          <w:sz w:val="44"/>
          <w:szCs w:val="44"/>
          <w:lang w:val="en-US" w:eastAsia="zh-CN"/>
        </w:rPr>
        <w:t xml:space="preserve"> </w:t>
      </w:r>
      <w:r>
        <w:rPr>
          <w:rFonts w:hint="default" w:ascii="Times New Roman" w:hAnsi="Times New Roman" w:eastAsia="方正小标宋_GBK" w:cs="Times New Roman"/>
          <w:b w:val="0"/>
          <w:bCs w:val="0"/>
          <w:sz w:val="44"/>
          <w:szCs w:val="44"/>
        </w:rPr>
        <w:t>则</w:t>
      </w:r>
      <w:bookmarkEnd w:id="1"/>
    </w:p>
    <w:p>
      <w:pPr>
        <w:pStyle w:val="3"/>
        <w:keepNext w:val="0"/>
        <w:keepLines w:val="0"/>
        <w:pageBreakBefore w:val="0"/>
        <w:widowControl w:val="0"/>
        <w:kinsoku/>
        <w:wordWrap/>
        <w:overflowPunct/>
        <w:topLinePunct w:val="0"/>
        <w:autoSpaceDE/>
        <w:autoSpaceDN/>
        <w:bidi w:val="0"/>
        <w:adjustRightInd/>
        <w:spacing w:before="0" w:after="0" w:line="560" w:lineRule="exact"/>
        <w:ind w:left="0" w:firstLine="640" w:firstLineChars="200"/>
        <w:jc w:val="both"/>
        <w:textAlignment w:val="auto"/>
        <w:rPr>
          <w:rFonts w:hint="default" w:ascii="Times New Roman" w:hAnsi="Times New Roman" w:eastAsia="方正黑体_GBK" w:cs="Times New Roman"/>
          <w:b w:val="0"/>
          <w:bCs/>
          <w:kern w:val="2"/>
          <w:sz w:val="32"/>
          <w:szCs w:val="32"/>
        </w:rPr>
      </w:pPr>
      <w:bookmarkStart w:id="2" w:name="_Toc7557"/>
      <w:r>
        <w:rPr>
          <w:rFonts w:hint="default" w:ascii="Times New Roman" w:hAnsi="Times New Roman" w:eastAsia="方正黑体_GBK" w:cs="Times New Roman"/>
          <w:b w:val="0"/>
          <w:bCs/>
          <w:kern w:val="2"/>
          <w:sz w:val="32"/>
          <w:szCs w:val="32"/>
        </w:rPr>
        <w:t>一、规划范围</w:t>
      </w:r>
      <w:bookmarkEnd w:id="2"/>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城市范围共分为六个区域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分别是老城片区、正阳片区、冯家片区、青杠片区、舟白片区、蓬东片区。</w:t>
      </w:r>
    </w:p>
    <w:p>
      <w:pPr>
        <w:pStyle w:val="3"/>
        <w:keepNext w:val="0"/>
        <w:keepLines w:val="0"/>
        <w:pageBreakBefore w:val="0"/>
        <w:widowControl w:val="0"/>
        <w:kinsoku/>
        <w:wordWrap/>
        <w:overflowPunct/>
        <w:topLinePunct w:val="0"/>
        <w:autoSpaceDE/>
        <w:autoSpaceDN/>
        <w:bidi w:val="0"/>
        <w:adjustRightInd/>
        <w:spacing w:before="0" w:after="0" w:line="560" w:lineRule="exact"/>
        <w:ind w:left="0" w:firstLine="640" w:firstLineChars="200"/>
        <w:jc w:val="both"/>
        <w:textAlignment w:val="auto"/>
        <w:rPr>
          <w:rFonts w:hint="default" w:ascii="Times New Roman" w:hAnsi="Times New Roman" w:eastAsia="方正黑体_GBK" w:cs="Times New Roman"/>
          <w:b w:val="0"/>
          <w:bCs/>
          <w:kern w:val="2"/>
          <w:sz w:val="32"/>
          <w:szCs w:val="32"/>
        </w:rPr>
      </w:pPr>
      <w:bookmarkStart w:id="3" w:name="_Toc18732"/>
      <w:r>
        <w:rPr>
          <w:rFonts w:hint="default" w:ascii="Times New Roman" w:hAnsi="Times New Roman" w:eastAsia="方正黑体_GBK" w:cs="Times New Roman"/>
          <w:b w:val="0"/>
          <w:bCs/>
          <w:kern w:val="2"/>
          <w:sz w:val="32"/>
          <w:szCs w:val="32"/>
        </w:rPr>
        <w:t>二、规划年限</w:t>
      </w:r>
      <w:bookmarkEnd w:id="3"/>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规划年限：规划至2025年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展望至2035年。</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规划基准年：2019年。</w:t>
      </w:r>
    </w:p>
    <w:p>
      <w:pPr>
        <w:pStyle w:val="3"/>
        <w:keepNext w:val="0"/>
        <w:keepLines w:val="0"/>
        <w:pageBreakBefore w:val="0"/>
        <w:widowControl w:val="0"/>
        <w:kinsoku/>
        <w:wordWrap/>
        <w:overflowPunct/>
        <w:topLinePunct w:val="0"/>
        <w:autoSpaceDE/>
        <w:autoSpaceDN/>
        <w:bidi w:val="0"/>
        <w:adjustRightInd/>
        <w:spacing w:before="0" w:after="0" w:line="560" w:lineRule="exact"/>
        <w:ind w:left="0" w:firstLine="640" w:firstLineChars="200"/>
        <w:jc w:val="both"/>
        <w:textAlignment w:val="auto"/>
        <w:rPr>
          <w:rFonts w:hint="default" w:ascii="Times New Roman" w:hAnsi="Times New Roman" w:eastAsia="方正黑体_GBK" w:cs="Times New Roman"/>
          <w:b w:val="0"/>
          <w:bCs/>
          <w:kern w:val="2"/>
          <w:sz w:val="32"/>
          <w:szCs w:val="32"/>
        </w:rPr>
      </w:pPr>
      <w:bookmarkStart w:id="4" w:name="_Toc11892"/>
      <w:r>
        <w:rPr>
          <w:rFonts w:hint="default" w:ascii="Times New Roman" w:hAnsi="Times New Roman" w:eastAsia="方正黑体_GBK" w:cs="Times New Roman"/>
          <w:b w:val="0"/>
          <w:bCs/>
          <w:kern w:val="2"/>
          <w:sz w:val="32"/>
          <w:szCs w:val="32"/>
        </w:rPr>
        <w:t>三、规划目标</w:t>
      </w:r>
      <w:bookmarkEnd w:id="4"/>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至2025年基本建成与城市经济社会发展相匹配的供水保障</w:t>
      </w:r>
      <w:r>
        <w:rPr>
          <w:rFonts w:hint="default" w:ascii="Times New Roman" w:hAnsi="Times New Roman" w:eastAsia="方正仿宋_GBK" w:cs="Times New Roman"/>
          <w:sz w:val="32"/>
          <w:szCs w:val="32"/>
          <w:lang w:eastAsia="zh-CN"/>
        </w:rPr>
        <w:t>体系，</w:t>
      </w:r>
      <w:r>
        <w:rPr>
          <w:rFonts w:hint="default" w:ascii="Times New Roman" w:hAnsi="Times New Roman" w:eastAsia="方正仿宋_GBK" w:cs="Times New Roman"/>
          <w:sz w:val="32"/>
          <w:szCs w:val="32"/>
        </w:rPr>
        <w:t>城市供水安全保障系数达到1.2以上；水质综合合格率不低于98%</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超过国家标准要求；城市水厂能够有效应对突发水环境事件；供水持续稳定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服务方便快捷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服务质</w:t>
      </w:r>
      <w:r>
        <w:rPr>
          <w:rFonts w:hint="default" w:ascii="Times New Roman" w:hAnsi="Times New Roman" w:eastAsia="方正仿宋_GBK" w:cs="Times New Roman"/>
          <w:sz w:val="32"/>
          <w:szCs w:val="32"/>
          <w:lang w:eastAsia="zh-CN"/>
        </w:rPr>
        <w:t>效</w:t>
      </w:r>
      <w:r>
        <w:rPr>
          <w:rFonts w:hint="default" w:ascii="Times New Roman" w:hAnsi="Times New Roman" w:eastAsia="方正仿宋_GBK" w:cs="Times New Roman"/>
          <w:sz w:val="32"/>
          <w:szCs w:val="32"/>
        </w:rPr>
        <w:t>进一步提升；完成国家节水型城市创建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城市节水成为供水系统有效补充。</w:t>
      </w:r>
    </w:p>
    <w:p>
      <w:pPr>
        <w:pStyle w:val="3"/>
        <w:keepNext w:val="0"/>
        <w:keepLines w:val="0"/>
        <w:pageBreakBefore w:val="0"/>
        <w:widowControl w:val="0"/>
        <w:kinsoku/>
        <w:wordWrap/>
        <w:overflowPunct/>
        <w:topLinePunct w:val="0"/>
        <w:autoSpaceDE/>
        <w:autoSpaceDN/>
        <w:bidi w:val="0"/>
        <w:adjustRightInd/>
        <w:spacing w:before="0" w:after="0" w:line="560" w:lineRule="exact"/>
        <w:ind w:left="0" w:firstLine="640" w:firstLineChars="200"/>
        <w:jc w:val="both"/>
        <w:textAlignment w:val="auto"/>
        <w:rPr>
          <w:rFonts w:hint="default" w:ascii="Times New Roman" w:hAnsi="Times New Roman" w:eastAsia="方正黑体_GBK" w:cs="Times New Roman"/>
          <w:b w:val="0"/>
          <w:bCs/>
          <w:kern w:val="2"/>
          <w:sz w:val="32"/>
          <w:szCs w:val="32"/>
        </w:rPr>
      </w:pPr>
      <w:bookmarkStart w:id="5" w:name="_Toc28562"/>
      <w:r>
        <w:rPr>
          <w:rFonts w:hint="default" w:ascii="Times New Roman" w:hAnsi="Times New Roman" w:eastAsia="方正黑体_GBK" w:cs="Times New Roman"/>
          <w:b w:val="0"/>
          <w:bCs/>
          <w:kern w:val="2"/>
          <w:sz w:val="32"/>
          <w:szCs w:val="32"/>
        </w:rPr>
        <w:t>四、规划原则</w:t>
      </w:r>
      <w:bookmarkEnd w:id="5"/>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——坚持党的全面领导。</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——坚持以人民为中心。</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——坚持新发展理念。</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——坚持深化改革开放。</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——坚持系统观念。</w:t>
      </w:r>
    </w:p>
    <w:p>
      <w:pPr>
        <w:pStyle w:val="3"/>
        <w:keepNext w:val="0"/>
        <w:keepLines w:val="0"/>
        <w:pageBreakBefore w:val="0"/>
        <w:widowControl w:val="0"/>
        <w:kinsoku/>
        <w:wordWrap/>
        <w:overflowPunct/>
        <w:topLinePunct w:val="0"/>
        <w:autoSpaceDE/>
        <w:autoSpaceDN/>
        <w:bidi w:val="0"/>
        <w:adjustRightInd/>
        <w:spacing w:before="0" w:after="0" w:line="560" w:lineRule="exact"/>
        <w:ind w:left="0" w:firstLine="640" w:firstLineChars="200"/>
        <w:jc w:val="both"/>
        <w:textAlignment w:val="auto"/>
        <w:rPr>
          <w:rFonts w:hint="default" w:ascii="Times New Roman" w:hAnsi="Times New Roman" w:eastAsia="方正黑体_GBK" w:cs="Times New Roman"/>
          <w:b w:val="0"/>
          <w:bCs/>
          <w:kern w:val="2"/>
          <w:sz w:val="32"/>
          <w:szCs w:val="32"/>
        </w:rPr>
      </w:pPr>
      <w:bookmarkStart w:id="6" w:name="_Toc7244"/>
      <w:bookmarkStart w:id="7" w:name="_Toc17017"/>
      <w:bookmarkStart w:id="8" w:name="_Toc59975753"/>
      <w:r>
        <w:rPr>
          <w:rFonts w:hint="default" w:ascii="Times New Roman" w:hAnsi="Times New Roman" w:eastAsia="方正黑体_GBK" w:cs="Times New Roman"/>
          <w:b w:val="0"/>
          <w:bCs/>
          <w:kern w:val="2"/>
          <w:sz w:val="32"/>
          <w:szCs w:val="32"/>
        </w:rPr>
        <w:t>五、指导思想</w:t>
      </w:r>
      <w:bookmarkEnd w:id="6"/>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高举中国特色社会主义伟大旗帜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深入贯彻党的十九大和十九届二中、三中、四中、五中</w:t>
      </w:r>
      <w:r>
        <w:rPr>
          <w:rFonts w:hint="default" w:ascii="Times New Roman" w:hAnsi="Times New Roman" w:eastAsia="方正仿宋_GBK" w:cs="Times New Roman"/>
          <w:sz w:val="32"/>
          <w:szCs w:val="32"/>
          <w:lang w:eastAsia="zh-CN"/>
        </w:rPr>
        <w:t>、六中</w:t>
      </w:r>
      <w:r>
        <w:rPr>
          <w:rFonts w:hint="default" w:ascii="Times New Roman" w:hAnsi="Times New Roman" w:eastAsia="方正仿宋_GBK" w:cs="Times New Roman"/>
          <w:sz w:val="32"/>
          <w:szCs w:val="32"/>
        </w:rPr>
        <w:t>全会精神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坚持以马克思列宁主义、毛泽东思想、邓小平理论、“三个代表”重要思想、科学发展观、习近平新时代中国特色社会主义思想为指导</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全面贯彻党的基本理论、基本路线、基本方略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统筹推进“五位一体”总体布局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协调推进“四个全面”战略布局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深入贯彻习近平总书记对重庆提出的营造良好政治生态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坚持“两点”定位、“两地”“两高”目标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发挥“三个作用”和推动成渝地区双城经济圈建设等重要指示要求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全面落实党中央</w:t>
      </w:r>
      <w:r>
        <w:rPr>
          <w:rFonts w:hint="default" w:ascii="Times New Roman" w:hAnsi="Times New Roman" w:eastAsia="方正仿宋_GBK" w:cs="Times New Roman"/>
          <w:sz w:val="32"/>
          <w:szCs w:val="32"/>
          <w:lang w:eastAsia="zh-CN"/>
        </w:rPr>
        <w:t>、国务院</w:t>
      </w:r>
      <w:r>
        <w:rPr>
          <w:rFonts w:hint="default" w:ascii="Times New Roman" w:hAnsi="Times New Roman" w:eastAsia="方正仿宋_GBK" w:cs="Times New Roman"/>
          <w:sz w:val="32"/>
          <w:szCs w:val="32"/>
        </w:rPr>
        <w:t>决策部署和市委</w:t>
      </w:r>
      <w:r>
        <w:rPr>
          <w:rFonts w:hint="default" w:ascii="Times New Roman" w:hAnsi="Times New Roman" w:eastAsia="方正仿宋_GBK" w:cs="Times New Roman"/>
          <w:sz w:val="32"/>
          <w:szCs w:val="32"/>
          <w:lang w:eastAsia="zh-CN"/>
        </w:rPr>
        <w:t>、市政府</w:t>
      </w:r>
      <w:r>
        <w:rPr>
          <w:rFonts w:hint="default" w:ascii="Times New Roman" w:hAnsi="Times New Roman" w:eastAsia="方正仿宋_GBK" w:cs="Times New Roman"/>
          <w:sz w:val="32"/>
          <w:szCs w:val="32"/>
        </w:rPr>
        <w:t>工作要求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准确把握新发展阶段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深入践行新发展理念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积极融入新发展格局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切实担当新发展使命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坚持稳中求进工作总基调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以推动高质量发展为主题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以深化供给侧结构性改革为主线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以改革创新为根本动力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以满足人民日益增长的美好生活需要为根本目的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统筹发展和安全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加快建设现代化经济体系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推进</w:t>
      </w:r>
      <w:r>
        <w:rPr>
          <w:rFonts w:hint="eastAsia" w:eastAsia="方正仿宋_GBK" w:cs="Times New Roman"/>
          <w:sz w:val="32"/>
          <w:szCs w:val="32"/>
          <w:lang w:val="en-US" w:eastAsia="zh-CN"/>
        </w:rPr>
        <w:t>基层</w:t>
      </w:r>
      <w:r>
        <w:rPr>
          <w:rFonts w:hint="default" w:ascii="Times New Roman" w:hAnsi="Times New Roman" w:eastAsia="方正仿宋_GBK" w:cs="Times New Roman"/>
          <w:sz w:val="32"/>
          <w:szCs w:val="32"/>
        </w:rPr>
        <w:t>治理体系和治理能力现代化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实现经济行稳致远、社会安定和谐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打造推动高质量发展创造高品质生活新范例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确保社会主义现代化建设新征程开好局、起好步。</w:t>
      </w:r>
    </w:p>
    <w:bookmarkEnd w:id="7"/>
    <w:bookmarkEnd w:id="8"/>
    <w:p>
      <w:pPr>
        <w:pStyle w:val="3"/>
        <w:keepNext w:val="0"/>
        <w:keepLines w:val="0"/>
        <w:pageBreakBefore w:val="0"/>
        <w:widowControl w:val="0"/>
        <w:kinsoku/>
        <w:wordWrap/>
        <w:overflowPunct/>
        <w:topLinePunct w:val="0"/>
        <w:autoSpaceDE/>
        <w:autoSpaceDN/>
        <w:bidi w:val="0"/>
        <w:adjustRightInd/>
        <w:spacing w:before="0" w:after="0" w:line="560" w:lineRule="exact"/>
        <w:ind w:left="0" w:firstLine="640" w:firstLineChars="200"/>
        <w:jc w:val="both"/>
        <w:textAlignment w:val="auto"/>
        <w:rPr>
          <w:rFonts w:hint="default" w:ascii="Times New Roman" w:hAnsi="Times New Roman" w:eastAsia="方正黑体_GBK" w:cs="Times New Roman"/>
          <w:b w:val="0"/>
          <w:bCs/>
          <w:kern w:val="2"/>
          <w:sz w:val="32"/>
          <w:szCs w:val="32"/>
        </w:rPr>
      </w:pPr>
      <w:bookmarkStart w:id="9" w:name="_Toc15633"/>
      <w:r>
        <w:rPr>
          <w:rFonts w:hint="default" w:ascii="Times New Roman" w:hAnsi="Times New Roman" w:eastAsia="方正黑体_GBK" w:cs="Times New Roman"/>
          <w:b w:val="0"/>
          <w:bCs/>
          <w:kern w:val="2"/>
          <w:sz w:val="32"/>
          <w:szCs w:val="32"/>
        </w:rPr>
        <w:t>六、规划目标及指标</w:t>
      </w:r>
      <w:bookmarkEnd w:id="9"/>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0" w:name="_Toc59975754"/>
      <w:bookmarkStart w:id="11" w:name="_Toc26653"/>
      <w:bookmarkStart w:id="12" w:name="_Toc74734850"/>
      <w:r>
        <w:rPr>
          <w:rFonts w:hint="default" w:ascii="Times New Roman" w:hAnsi="Times New Roman" w:eastAsia="方正楷体_GBK" w:cs="Times New Roman"/>
          <w:sz w:val="32"/>
          <w:szCs w:val="32"/>
        </w:rPr>
        <w:t>（一）规划目标</w:t>
      </w:r>
      <w:bookmarkEnd w:id="10"/>
      <w:bookmarkEnd w:id="11"/>
      <w:bookmarkEnd w:id="12"/>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“十四五”城市供水以水量充足、水质安全、服务优良为保障目标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坚持以水定城、以水定地、以水定人、以水定产、节水优先的总原则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重点解决城市供水水量充足性、水质安全性、系统可靠性问题。</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对接渝东南水资源配置网络建设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推进大中型水库前期论证和建设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实施应急引提水工程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构建多源互补、区域互通、集约高效的水资源供应体系。</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3" w:name="_Toc59975756"/>
      <w:bookmarkStart w:id="14" w:name="_Toc74734851"/>
      <w:bookmarkStart w:id="15" w:name="_Toc18181"/>
      <w:r>
        <w:rPr>
          <w:rFonts w:hint="default" w:ascii="Times New Roman" w:hAnsi="Times New Roman" w:eastAsia="方正楷体_GBK" w:cs="Times New Roman"/>
          <w:sz w:val="32"/>
          <w:szCs w:val="32"/>
        </w:rPr>
        <w:t>（二）规划指标</w:t>
      </w:r>
      <w:bookmarkEnd w:id="13"/>
      <w:bookmarkEnd w:id="14"/>
      <w:bookmarkEnd w:id="15"/>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水源保护指标：水源达到或优于</w:t>
      </w:r>
      <w:r>
        <w:rPr>
          <w:rFonts w:hint="default" w:ascii="Times New Roman" w:hAnsi="Times New Roman" w:eastAsia="方正仿宋_GBK" w:cs="Times New Roman"/>
          <w:sz w:val="32"/>
          <w:szCs w:val="32"/>
          <w:highlight w:val="none"/>
          <w:lang w:eastAsia="zh-CN"/>
        </w:rPr>
        <w:t>Ⅲ</w:t>
      </w:r>
      <w:r>
        <w:rPr>
          <w:rFonts w:hint="default" w:ascii="Times New Roman" w:hAnsi="Times New Roman" w:eastAsia="方正仿宋_GBK" w:cs="Times New Roman"/>
          <w:sz w:val="32"/>
          <w:szCs w:val="32"/>
        </w:rPr>
        <w:t>类；</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备用水源指标：完成备用水源和供水设施建设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形成完备的备用水源使用管理制度；</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人均综合用水量：2025年人均综合用水量超过300L/cap.d；</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水厂负荷率：负荷达到95%的天数每年不超过90天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平均负荷率不高于75%；</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供水普及率：2025年达到99%；</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水厂出水水质：严格执行《生活饮用水卫生标准》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达到国家标准规范要求；</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公共管网漏损率：2025年下降到10%以下；</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供水系统调节容积比：2025年不低于10%~12%；</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供水系统安全保障系数：2025年不低于1.2；</w:t>
      </w:r>
    </w:p>
    <w:p>
      <w:pPr>
        <w:keepNext w:val="0"/>
        <w:keepLines w:val="0"/>
        <w:pageBreakBefore w:val="0"/>
        <w:widowControl/>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水厂监控、自控：2025年全部完成建设；</w:t>
      </w:r>
    </w:p>
    <w:p>
      <w:pPr>
        <w:keepNext w:val="0"/>
        <w:keepLines w:val="0"/>
        <w:pageBreakBefore w:val="0"/>
        <w:widowControl/>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管网检测信息化：到2025年逐步建设；</w:t>
      </w:r>
    </w:p>
    <w:p>
      <w:pPr>
        <w:keepNext w:val="0"/>
        <w:keepLines w:val="0"/>
        <w:pageBreakBefore w:val="0"/>
        <w:widowControl/>
        <w:kinsoku/>
        <w:wordWrap/>
        <w:overflowPunct/>
        <w:topLinePunct/>
        <w:autoSpaceDE/>
        <w:autoSpaceDN/>
        <w:bidi w:val="0"/>
        <w:adjustRightInd w:val="0"/>
        <w:snapToGrid w:val="0"/>
        <w:spacing w:line="540" w:lineRule="exact"/>
        <w:ind w:firstLine="640"/>
        <w:textAlignment w:val="auto"/>
        <w:rPr>
          <w:rFonts w:hint="default" w:ascii="Times New Roman" w:hAnsi="Times New Roman" w:eastAsia="方正仿宋_GBK" w:cs="Times New Roman"/>
          <w:sz w:val="32"/>
          <w:szCs w:val="32"/>
        </w:rPr>
        <w:sectPr>
          <w:footerReference r:id="rId7" w:type="default"/>
          <w:pgSz w:w="11907" w:h="16839"/>
          <w:pgMar w:top="2098" w:right="1474" w:bottom="1984" w:left="1588" w:header="510" w:footer="1020" w:gutter="0"/>
          <w:pgNumType w:fmt="decimal" w:start="6"/>
          <w:cols w:space="0" w:num="1"/>
          <w:rtlGutter w:val="0"/>
          <w:docGrid w:type="linesAndChars" w:linePitch="381" w:charSpace="0"/>
        </w:sectPr>
      </w:pPr>
      <w:r>
        <w:rPr>
          <w:rFonts w:hint="default" w:ascii="Times New Roman" w:hAnsi="Times New Roman" w:eastAsia="方正仿宋_GBK" w:cs="Times New Roman"/>
          <w:sz w:val="32"/>
          <w:szCs w:val="32"/>
        </w:rPr>
        <w:t>人均停水时间：不超过8小时/人.年。</w:t>
      </w:r>
    </w:p>
    <w:p>
      <w:pPr>
        <w:pStyle w:val="4"/>
        <w:keepNext w:val="0"/>
        <w:keepLines w:val="0"/>
        <w:pageBreakBefore w:val="0"/>
        <w:widowControl w:val="0"/>
        <w:kinsoku/>
        <w:wordWrap/>
        <w:overflowPunct/>
        <w:topLinePunct w:val="0"/>
        <w:autoSpaceDE/>
        <w:autoSpaceDN/>
        <w:bidi w:val="0"/>
        <w:adjustRightInd/>
        <w:spacing w:before="0" w:after="0" w:line="560" w:lineRule="exact"/>
        <w:ind w:left="0" w:firstLine="880" w:firstLineChars="200"/>
        <w:textAlignment w:val="auto"/>
        <w:rPr>
          <w:rFonts w:hint="default" w:ascii="Times New Roman" w:hAnsi="Times New Roman" w:eastAsia="方正小标宋_GBK" w:cs="Times New Roman"/>
          <w:b w:val="0"/>
          <w:bCs w:val="0"/>
          <w:sz w:val="44"/>
          <w:szCs w:val="44"/>
        </w:rPr>
      </w:pPr>
      <w:bookmarkStart w:id="16" w:name="_Toc429995026"/>
      <w:bookmarkStart w:id="17" w:name="_Toc59975634"/>
      <w:bookmarkStart w:id="18" w:name="_Toc15888378"/>
      <w:bookmarkStart w:id="19" w:name="_Toc427532388"/>
      <w:bookmarkStart w:id="20" w:name="_Toc16469"/>
      <w:bookmarkStart w:id="21" w:name="_Toc7610"/>
      <w:bookmarkStart w:id="22" w:name="_Toc429995546"/>
      <w:bookmarkStart w:id="23" w:name="_Toc452628099"/>
      <w:bookmarkStart w:id="24" w:name="_Toc11221_WPSOffice_Level1"/>
      <w:bookmarkStart w:id="25" w:name="_Toc20246995"/>
      <w:bookmarkStart w:id="26" w:name="_Toc427532250"/>
      <w:bookmarkStart w:id="27" w:name="_Toc429995563"/>
      <w:bookmarkStart w:id="28" w:name="_Toc427532405"/>
      <w:bookmarkStart w:id="29" w:name="_Toc427532267"/>
      <w:bookmarkStart w:id="30" w:name="_Toc429995043"/>
      <w:r>
        <w:rPr>
          <w:rFonts w:hint="default" w:ascii="Times New Roman" w:hAnsi="Times New Roman" w:eastAsia="方正小标宋_GBK" w:cs="Times New Roman"/>
          <w:b w:val="0"/>
          <w:bCs w:val="0"/>
          <w:sz w:val="44"/>
          <w:szCs w:val="44"/>
        </w:rPr>
        <w:t>第二章 供水基本情况</w:t>
      </w:r>
      <w:bookmarkEnd w:id="16"/>
      <w:bookmarkEnd w:id="17"/>
      <w:bookmarkEnd w:id="18"/>
      <w:bookmarkEnd w:id="19"/>
      <w:bookmarkEnd w:id="20"/>
      <w:bookmarkEnd w:id="21"/>
      <w:bookmarkEnd w:id="22"/>
      <w:bookmarkEnd w:id="23"/>
      <w:bookmarkEnd w:id="24"/>
      <w:bookmarkEnd w:id="25"/>
      <w:bookmarkEnd w:id="26"/>
    </w:p>
    <w:p>
      <w:pPr>
        <w:pStyle w:val="3"/>
        <w:keepLines w:val="0"/>
        <w:pageBreakBefore w:val="0"/>
        <w:widowControl/>
        <w:kinsoku/>
        <w:wordWrap/>
        <w:overflowPunct/>
        <w:topLinePunct/>
        <w:autoSpaceDE/>
        <w:autoSpaceDN/>
        <w:bidi w:val="0"/>
        <w:adjustRightInd w:val="0"/>
        <w:snapToGrid w:val="0"/>
        <w:spacing w:before="0" w:after="0" w:line="540" w:lineRule="exact"/>
        <w:ind w:left="0" w:firstLine="640" w:firstLineChars="200"/>
        <w:jc w:val="both"/>
        <w:textAlignment w:val="auto"/>
        <w:rPr>
          <w:rFonts w:hint="default" w:ascii="Times New Roman" w:hAnsi="Times New Roman" w:eastAsia="方正黑体_GBK" w:cs="Times New Roman"/>
          <w:b w:val="0"/>
          <w:bCs/>
          <w:kern w:val="2"/>
          <w:sz w:val="32"/>
          <w:szCs w:val="32"/>
        </w:rPr>
      </w:pPr>
      <w:bookmarkStart w:id="31" w:name="_Toc14620"/>
      <w:bookmarkStart w:id="32" w:name="_Toc59975642"/>
      <w:bookmarkStart w:id="33" w:name="_Toc13949"/>
      <w:r>
        <w:rPr>
          <w:rFonts w:hint="default" w:ascii="Times New Roman" w:hAnsi="Times New Roman" w:eastAsia="方正黑体_GBK" w:cs="Times New Roman"/>
          <w:b w:val="0"/>
          <w:bCs/>
          <w:kern w:val="2"/>
          <w:sz w:val="32"/>
          <w:szCs w:val="32"/>
        </w:rPr>
        <w:t>一、供水系统现状</w:t>
      </w:r>
      <w:bookmarkEnd w:id="31"/>
      <w:bookmarkEnd w:id="32"/>
      <w:bookmarkEnd w:id="33"/>
    </w:p>
    <w:p>
      <w:pPr>
        <w:pStyle w:val="18"/>
        <w:keepLines w:val="0"/>
        <w:pageBreakBefore w:val="0"/>
        <w:widowControl/>
        <w:kinsoku/>
        <w:wordWrap/>
        <w:overflowPunct/>
        <w:autoSpaceDE/>
        <w:autoSpaceDN/>
        <w:bidi w:val="0"/>
        <w:spacing w:line="560" w:lineRule="exact"/>
        <w:ind w:firstLine="64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（一）城市服务面积、服务人口</w:t>
      </w:r>
    </w:p>
    <w:p>
      <w:pPr>
        <w:pStyle w:val="18"/>
        <w:spacing w:line="560" w:lineRule="exact"/>
        <w:ind w:firstLine="640"/>
        <w:rPr>
          <w:rFonts w:hint="default" w:ascii="Times New Roman" w:hAnsi="Times New Roman" w:eastAsia="方正仿宋_GBK" w:cs="Times New Roman"/>
          <w:sz w:val="32"/>
          <w:szCs w:val="32"/>
        </w:rPr>
      </w:pPr>
      <w:bookmarkStart w:id="34" w:name="_Toc31955"/>
      <w:r>
        <w:rPr>
          <w:rFonts w:hint="default" w:ascii="Times New Roman" w:hAnsi="Times New Roman" w:eastAsia="方正仿宋_GBK" w:cs="Times New Roman"/>
          <w:sz w:val="32"/>
          <w:szCs w:val="32"/>
        </w:rPr>
        <w:t>根据规划范围现状统计，城乡建设用地101.18平方公里,城镇建设用地23.15平方公里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中心城区城镇建设用地19.62平方公里；根据第七次全国人口普查，黔江区2020年末户籍人口55.56万人，常住人口48.7281万人，城镇常住人口28.8462万人。</w:t>
      </w:r>
    </w:p>
    <w:p>
      <w:pPr>
        <w:pStyle w:val="18"/>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（二）水源现状</w:t>
      </w:r>
      <w:bookmarkEnd w:id="34"/>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黔江城市供水源以水库为主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全区</w:t>
      </w:r>
      <w:r>
        <w:rPr>
          <w:rFonts w:hint="default" w:ascii="Times New Roman" w:hAnsi="Times New Roman" w:eastAsia="方正仿宋_GBK" w:cs="Times New Roman"/>
          <w:sz w:val="32"/>
          <w:szCs w:val="32"/>
          <w:highlight w:val="none"/>
        </w:rPr>
        <w:t>已建成</w:t>
      </w:r>
      <w:r>
        <w:rPr>
          <w:rFonts w:hint="default" w:ascii="Times New Roman" w:hAnsi="Times New Roman" w:eastAsia="方正仿宋_GBK" w:cs="Times New Roman"/>
          <w:sz w:val="32"/>
          <w:szCs w:val="32"/>
          <w:highlight w:val="none"/>
          <w:lang w:eastAsia="zh-CN"/>
        </w:rPr>
        <w:t>四座</w:t>
      </w:r>
      <w:r>
        <w:rPr>
          <w:rFonts w:hint="default" w:ascii="Times New Roman" w:hAnsi="Times New Roman" w:eastAsia="方正仿宋_GBK" w:cs="Times New Roman"/>
          <w:sz w:val="32"/>
          <w:szCs w:val="32"/>
          <w:highlight w:val="none"/>
        </w:rPr>
        <w:t>中小型水库</w:t>
      </w:r>
      <w:r>
        <w:rPr>
          <w:rFonts w:hint="default" w:ascii="Times New Roman" w:hAnsi="Times New Roman" w:eastAsia="方正仿宋_GBK" w:cs="Times New Roman"/>
          <w:sz w:val="32"/>
          <w:szCs w:val="32"/>
          <w:highlight w:val="none"/>
          <w:lang w:eastAsia="zh-CN"/>
        </w:rPr>
        <w:t>作为</w:t>
      </w:r>
      <w:r>
        <w:rPr>
          <w:rFonts w:hint="default" w:ascii="Times New Roman" w:hAnsi="Times New Roman" w:eastAsia="方正仿宋_GBK" w:cs="Times New Roman"/>
          <w:sz w:val="32"/>
          <w:szCs w:val="32"/>
          <w:highlight w:val="none"/>
        </w:rPr>
        <w:t>中心城区饮</w:t>
      </w:r>
      <w:r>
        <w:rPr>
          <w:rFonts w:hint="default" w:ascii="Times New Roman" w:hAnsi="Times New Roman" w:eastAsia="方正仿宋_GBK" w:cs="Times New Roman"/>
          <w:sz w:val="32"/>
          <w:szCs w:val="32"/>
          <w:highlight w:val="none"/>
          <w:lang w:eastAsia="zh-CN"/>
        </w:rPr>
        <w:t>用</w:t>
      </w:r>
      <w:r>
        <w:rPr>
          <w:rFonts w:hint="default" w:ascii="Times New Roman" w:hAnsi="Times New Roman" w:eastAsia="方正仿宋_GBK" w:cs="Times New Roman"/>
          <w:sz w:val="32"/>
          <w:szCs w:val="32"/>
          <w:highlight w:val="none"/>
        </w:rPr>
        <w:t>水源地</w:t>
      </w:r>
      <w:r>
        <w:rPr>
          <w:rFonts w:hint="default" w:ascii="Times New Roman" w:hAnsi="Times New Roman" w:eastAsia="方正仿宋_GBK" w:cs="Times New Roman"/>
          <w:sz w:val="32"/>
          <w:szCs w:val="32"/>
          <w:lang w:eastAsia="zh-CN"/>
        </w:rPr>
        <w:t>，分别为</w:t>
      </w:r>
      <w:r>
        <w:rPr>
          <w:rFonts w:hint="default" w:ascii="Times New Roman" w:hAnsi="Times New Roman" w:eastAsia="方正仿宋_GBK" w:cs="Times New Roman"/>
          <w:sz w:val="32"/>
          <w:szCs w:val="32"/>
        </w:rPr>
        <w:t>小南海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洞塘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太极水库四座水库。四座水库水量充沛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水质优良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水库地势较高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均为重力流输水。各水库水量如下：</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小南海水库年均可供水量为4752万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洞塘水库多年平均年可供水量为1548万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城北水库设计可供水量</w:t>
      </w:r>
      <w:r>
        <w:rPr>
          <w:rFonts w:hint="default" w:ascii="Times New Roman" w:hAnsi="Times New Roman" w:eastAsia="方正仿宋_GBK" w:cs="Times New Roman"/>
          <w:color w:val="auto"/>
          <w:sz w:val="32"/>
          <w:szCs w:val="32"/>
          <w:highlight w:val="none"/>
          <w:lang w:eastAsia="zh-CN"/>
        </w:rPr>
        <w:t>为</w:t>
      </w:r>
      <w:r>
        <w:rPr>
          <w:rFonts w:hint="default" w:ascii="Times New Roman" w:hAnsi="Times New Roman" w:eastAsia="方正仿宋_GBK" w:cs="Times New Roman"/>
          <w:sz w:val="32"/>
          <w:szCs w:val="32"/>
        </w:rPr>
        <w:t>1007万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太极水库多年平均可供水量</w:t>
      </w:r>
      <w:r>
        <w:rPr>
          <w:rFonts w:hint="default" w:ascii="Times New Roman" w:hAnsi="Times New Roman" w:eastAsia="方正仿宋_GBK" w:cs="Times New Roman"/>
          <w:color w:val="auto"/>
          <w:sz w:val="32"/>
          <w:szCs w:val="32"/>
          <w:highlight w:val="none"/>
          <w:lang w:eastAsia="zh-CN"/>
        </w:rPr>
        <w:t>为</w:t>
      </w:r>
      <w:r>
        <w:rPr>
          <w:rFonts w:hint="default" w:ascii="Times New Roman" w:hAnsi="Times New Roman" w:eastAsia="方正仿宋_GBK" w:cs="Times New Roman"/>
          <w:sz w:val="32"/>
          <w:szCs w:val="32"/>
        </w:rPr>
        <w:t>2762万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w:t>
      </w:r>
    </w:p>
    <w:p>
      <w:pPr>
        <w:pStyle w:val="18"/>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（三）供水平衡</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黔江区四座水库</w:t>
      </w:r>
      <w:r>
        <w:rPr>
          <w:rFonts w:hint="default" w:ascii="Times New Roman" w:hAnsi="Times New Roman" w:eastAsia="方正仿宋_GBK" w:cs="Times New Roman"/>
          <w:color w:val="auto"/>
          <w:sz w:val="32"/>
          <w:szCs w:val="32"/>
          <w:highlight w:val="none"/>
        </w:rPr>
        <w:t>平均</w:t>
      </w:r>
      <w:r>
        <w:rPr>
          <w:rFonts w:hint="default" w:ascii="Times New Roman" w:hAnsi="Times New Roman" w:eastAsia="方正仿宋_GBK" w:cs="Times New Roman"/>
          <w:color w:val="auto"/>
          <w:sz w:val="32"/>
          <w:szCs w:val="32"/>
          <w:highlight w:val="none"/>
          <w:lang w:eastAsia="zh-CN"/>
        </w:rPr>
        <w:t>年</w:t>
      </w:r>
      <w:r>
        <w:rPr>
          <w:rFonts w:hint="default" w:ascii="Times New Roman" w:hAnsi="Times New Roman" w:eastAsia="方正仿宋_GBK" w:cs="Times New Roman"/>
          <w:color w:val="auto"/>
          <w:sz w:val="32"/>
          <w:szCs w:val="32"/>
          <w:highlight w:val="none"/>
        </w:rPr>
        <w:t>可供水量</w:t>
      </w:r>
      <w:r>
        <w:rPr>
          <w:rFonts w:hint="default" w:ascii="Times New Roman" w:hAnsi="Times New Roman" w:eastAsia="方正仿宋_GBK" w:cs="Times New Roman"/>
          <w:sz w:val="32"/>
          <w:szCs w:val="32"/>
        </w:rPr>
        <w:t>为10069万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平均日可供水量为27.59万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以规划基准年为标准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目前运行的四座水厂设计规模日供水量为10万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满足供水平衡。</w:t>
      </w:r>
    </w:p>
    <w:p>
      <w:pPr>
        <w:pStyle w:val="18"/>
        <w:spacing w:line="54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（四）备用水源</w:t>
      </w:r>
    </w:p>
    <w:p>
      <w:pPr>
        <w:pStyle w:val="18"/>
        <w:keepNext w:val="0"/>
        <w:keepLines w:val="0"/>
        <w:pageBreakBefore w:val="0"/>
        <w:widowControl/>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三元宫水厂主要由小南海水库供水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城北水库作备用水源。</w:t>
      </w:r>
    </w:p>
    <w:p>
      <w:pPr>
        <w:pStyle w:val="18"/>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小南海水库除</w:t>
      </w:r>
      <w:r>
        <w:rPr>
          <w:rFonts w:hint="default" w:ascii="Times New Roman" w:hAnsi="Times New Roman" w:eastAsia="方正仿宋_GBK" w:cs="Times New Roman"/>
          <w:color w:val="auto"/>
          <w:sz w:val="32"/>
          <w:szCs w:val="32"/>
        </w:rPr>
        <w:t>了</w:t>
      </w:r>
      <w:r>
        <w:rPr>
          <w:rFonts w:hint="default" w:ascii="Times New Roman" w:hAnsi="Times New Roman" w:eastAsia="方正仿宋_GBK" w:cs="Times New Roman"/>
          <w:sz w:val="32"/>
          <w:szCs w:val="32"/>
          <w:highlight w:val="none"/>
          <w:lang w:eastAsia="zh-CN"/>
        </w:rPr>
        <w:t>作为</w:t>
      </w:r>
      <w:r>
        <w:rPr>
          <w:rFonts w:hint="default" w:ascii="Times New Roman" w:hAnsi="Times New Roman" w:eastAsia="方正仿宋_GBK" w:cs="Times New Roman"/>
          <w:sz w:val="32"/>
          <w:szCs w:val="32"/>
        </w:rPr>
        <w:t>正阳水厂供水水源外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highlight w:val="none"/>
        </w:rPr>
        <w:t>还作为正阳工业园区、青杠工业拓展区的生产用水补充水源。</w:t>
      </w:r>
    </w:p>
    <w:p>
      <w:pPr>
        <w:pStyle w:val="18"/>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（五）给水布局</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白家湾水厂与三元宫水厂联网向老城片区供水。</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正阳水厂是正阳、冯家、青杠片区的主要供水厂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通过供水管道与老城管道联网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可以</w:t>
      </w:r>
      <w:r>
        <w:rPr>
          <w:rFonts w:hint="default" w:ascii="Times New Roman" w:hAnsi="Times New Roman" w:eastAsia="方正仿宋_GBK" w:cs="Times New Roman"/>
          <w:sz w:val="32"/>
          <w:szCs w:val="32"/>
          <w:highlight w:val="none"/>
        </w:rPr>
        <w:t>实行老城、正阳、冯家、青杠四片区三水厂联网供水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互为补充。</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舟白片区由舟白水厂单独供水。</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蓬东片区由麻田坝水厂单独供水。</w:t>
      </w:r>
    </w:p>
    <w:p>
      <w:pPr>
        <w:pStyle w:val="18"/>
        <w:spacing w:line="54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（六）水源现状存在的问题</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1.白家湾水厂作为老城区主要供水水厂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供水任务重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现状水源地洞塘水库集雨面积小造成水质状况不稳定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且水库水较为浑浊。</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2.小南海水库输水渠道存在约10km滑坡地段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渠道输水距离超过20km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存在供水保障风险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经调查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该渠道曾发生过堵塞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影响舟白水厂正常供水。</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3.小南海水库水源水存在异味</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但水质监测结果反馈并无问题。根据收集到的资料分析小南海水库曾经作为景区水库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水库底层有不同程度的淤积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且目前水库条件不适合开展清淤工作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同时现有取水口位置相对较低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枯水季节</w:t>
      </w:r>
      <w:r>
        <w:rPr>
          <w:rFonts w:hint="default" w:ascii="Times New Roman" w:hAnsi="Times New Roman" w:eastAsia="方正仿宋_GBK" w:cs="Times New Roman"/>
          <w:sz w:val="32"/>
          <w:szCs w:val="32"/>
          <w:highlight w:val="none"/>
        </w:rPr>
        <w:t>水库</w:t>
      </w:r>
      <w:r>
        <w:rPr>
          <w:rFonts w:hint="default" w:ascii="Times New Roman" w:hAnsi="Times New Roman" w:eastAsia="方正仿宋_GBK" w:cs="Times New Roman"/>
          <w:color w:val="auto"/>
          <w:sz w:val="32"/>
          <w:szCs w:val="32"/>
          <w:highlight w:val="none"/>
          <w:lang w:eastAsia="zh-CN"/>
        </w:rPr>
        <w:t>水源</w:t>
      </w:r>
      <w:r>
        <w:rPr>
          <w:rFonts w:hint="default" w:ascii="Times New Roman" w:hAnsi="Times New Roman" w:eastAsia="方正仿宋_GBK" w:cs="Times New Roman"/>
          <w:sz w:val="32"/>
          <w:szCs w:val="32"/>
        </w:rPr>
        <w:t>受影响较为明显。</w:t>
      </w:r>
    </w:p>
    <w:p>
      <w:pPr>
        <w:pStyle w:val="3"/>
        <w:widowControl w:val="0"/>
        <w:spacing w:before="0" w:after="0" w:line="560" w:lineRule="exact"/>
        <w:ind w:left="0" w:leftChars="0" w:firstLine="640" w:firstLineChars="200"/>
        <w:jc w:val="both"/>
        <w:rPr>
          <w:rFonts w:hint="default" w:ascii="Times New Roman" w:hAnsi="Times New Roman" w:eastAsia="方正黑体_GBK" w:cs="Times New Roman"/>
          <w:b w:val="0"/>
          <w:bCs/>
          <w:kern w:val="2"/>
          <w:sz w:val="32"/>
          <w:szCs w:val="32"/>
        </w:rPr>
      </w:pPr>
      <w:bookmarkStart w:id="35" w:name="_Toc59975643"/>
      <w:bookmarkStart w:id="36" w:name="_Toc540"/>
      <w:bookmarkStart w:id="37" w:name="_Toc5688"/>
      <w:r>
        <w:rPr>
          <w:rFonts w:hint="default" w:ascii="Times New Roman" w:hAnsi="Times New Roman" w:eastAsia="方正黑体_GBK" w:cs="Times New Roman"/>
          <w:b w:val="0"/>
          <w:bCs/>
          <w:kern w:val="2"/>
          <w:sz w:val="32"/>
          <w:szCs w:val="32"/>
        </w:rPr>
        <w:t>二、水厂现状</w:t>
      </w:r>
      <w:bookmarkEnd w:id="35"/>
      <w:bookmarkEnd w:id="36"/>
      <w:bookmarkEnd w:id="37"/>
    </w:p>
    <w:p>
      <w:pPr>
        <w:pStyle w:val="18"/>
        <w:spacing w:line="560" w:lineRule="exact"/>
        <w:ind w:left="0" w:leftChars="0"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（一）水厂现状</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白家湾水厂</w:t>
      </w:r>
      <w:r>
        <w:rPr>
          <w:rFonts w:hint="default" w:ascii="Times New Roman" w:hAnsi="Times New Roman" w:eastAsia="方正仿宋_GBK" w:cs="Times New Roman"/>
          <w:b/>
          <w:bCs/>
          <w:sz w:val="32"/>
          <w:szCs w:val="32"/>
          <w:lang w:eastAsia="zh-CN"/>
        </w:rPr>
        <w:t>。</w:t>
      </w:r>
      <w:bookmarkStart w:id="38" w:name="_Toc60429823"/>
      <w:bookmarkStart w:id="39" w:name="_Toc59975644"/>
      <w:bookmarkStart w:id="40" w:name="_Toc28189"/>
      <w:r>
        <w:rPr>
          <w:rFonts w:hint="default" w:ascii="Times New Roman" w:hAnsi="Times New Roman" w:eastAsia="方正仿宋_GBK" w:cs="Times New Roman"/>
          <w:sz w:val="32"/>
          <w:szCs w:val="32"/>
        </w:rPr>
        <w:t>白家湾水厂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2002年12月建成投产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位于黔江区老城片区城西街道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以洞塘水库为水源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设计制水规模3.0万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bookmarkEnd w:id="38"/>
      <w:bookmarkEnd w:id="39"/>
      <w:bookmarkEnd w:id="40"/>
    </w:p>
    <w:p>
      <w:pPr>
        <w:pStyle w:val="18"/>
        <w:spacing w:line="560" w:lineRule="exact"/>
        <w:ind w:firstLine="640"/>
        <w:rPr>
          <w:rFonts w:hint="default" w:ascii="Times New Roman" w:hAnsi="Times New Roman" w:eastAsia="方正仿宋_GBK" w:cs="Times New Roman"/>
          <w:sz w:val="32"/>
          <w:szCs w:val="32"/>
        </w:rPr>
      </w:pPr>
      <w:bookmarkStart w:id="41" w:name="_Toc60429824"/>
      <w:bookmarkStart w:id="42" w:name="_Toc59975645"/>
      <w:bookmarkStart w:id="43" w:name="_Toc17693"/>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三元宫水厂</w:t>
      </w:r>
      <w:bookmarkEnd w:id="41"/>
      <w:bookmarkEnd w:id="42"/>
      <w:bookmarkEnd w:id="43"/>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三元宫水厂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位于黔江区老城片区城东街道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以小南海水库和城北水库为水源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现状制水工艺1999年建成投产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制水规模3.0万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是老城片区的次供水厂和正阳片区的主供水厂。</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正阳水厂</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正阳水厂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一期2018年建成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位于正阳街道桐坪居委二组（小地名雷家营）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以小南海水库为水源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制水能力2.0万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是正阳、冯家、青杠片区的次供水厂。</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舟白水厂</w:t>
      </w:r>
      <w:r>
        <w:rPr>
          <w:rFonts w:hint="default" w:ascii="Times New Roman" w:hAnsi="Times New Roman" w:eastAsia="方正仿宋_GBK" w:cs="Times New Roman"/>
          <w:b/>
          <w:bCs/>
          <w:sz w:val="32"/>
          <w:szCs w:val="32"/>
          <w:lang w:eastAsia="zh-CN"/>
        </w:rPr>
        <w:t>。</w:t>
      </w:r>
      <w:bookmarkStart w:id="44" w:name="_Toc59975646"/>
      <w:bookmarkStart w:id="45" w:name="_Toc60429825"/>
      <w:bookmarkStart w:id="46" w:name="_Toc836"/>
      <w:r>
        <w:rPr>
          <w:rFonts w:hint="default" w:ascii="Times New Roman" w:hAnsi="Times New Roman" w:eastAsia="方正仿宋_GBK" w:cs="Times New Roman"/>
          <w:sz w:val="32"/>
          <w:szCs w:val="32"/>
        </w:rPr>
        <w:t>舟白水厂位于黔江区舟白街道路东居委二组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源水采用小南海水库水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通过封闭式渠道引水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渠道距离约26公里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2009年建成投入使用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总供水规模达到2万吨/日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是舟白片区的供水水厂。</w:t>
      </w:r>
      <w:bookmarkEnd w:id="44"/>
      <w:bookmarkEnd w:id="45"/>
      <w:bookmarkEnd w:id="46"/>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5.</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麻田水厂</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麻田坝水厂始建于1993年2月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水厂厂址位于蓬东乡蓬勃村5组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现状取水规模为400 </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p>
    <w:p>
      <w:pPr>
        <w:pStyle w:val="18"/>
        <w:spacing w:line="54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（二）水厂存在的问题</w:t>
      </w:r>
    </w:p>
    <w:p>
      <w:pPr>
        <w:pStyle w:val="18"/>
        <w:spacing w:line="540" w:lineRule="exact"/>
        <w:ind w:firstLine="640"/>
        <w:rPr>
          <w:rFonts w:hint="default" w:ascii="Times New Roman" w:hAnsi="Times New Roman" w:eastAsia="方正仿宋_GBK" w:cs="Times New Roman"/>
          <w:sz w:val="32"/>
          <w:szCs w:val="32"/>
        </w:rPr>
      </w:pPr>
      <w:bookmarkStart w:id="47" w:name="_Toc8652"/>
      <w:r>
        <w:rPr>
          <w:rFonts w:hint="default" w:ascii="Times New Roman" w:hAnsi="Times New Roman" w:eastAsia="方正仿宋_GBK" w:cs="Times New Roman"/>
          <w:sz w:val="32"/>
          <w:szCs w:val="32"/>
        </w:rPr>
        <w:t>1.三元宫水厂按旧标准和规范建设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无</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highlight w:val="none"/>
          <w:lang w:eastAsia="zh-CN"/>
        </w:rPr>
        <w:t>目前</w:t>
      </w:r>
      <w:r>
        <w:rPr>
          <w:rFonts w:hint="default" w:ascii="Times New Roman" w:hAnsi="Times New Roman" w:eastAsia="方正仿宋_GBK" w:cs="Times New Roman"/>
          <w:color w:val="auto"/>
          <w:sz w:val="32"/>
          <w:szCs w:val="32"/>
          <w:highlight w:val="none"/>
        </w:rPr>
        <w:t>环保要求越来越高</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老</w:t>
      </w:r>
      <w:r>
        <w:rPr>
          <w:rFonts w:hint="default" w:ascii="Times New Roman" w:hAnsi="Times New Roman" w:eastAsia="方正仿宋_GBK" w:cs="Times New Roman"/>
          <w:sz w:val="32"/>
          <w:szCs w:val="32"/>
        </w:rPr>
        <w:t>旧工艺已经无法满足现行需求。</w:t>
      </w:r>
      <w:bookmarkEnd w:id="47"/>
    </w:p>
    <w:p>
      <w:pPr>
        <w:pStyle w:val="18"/>
        <w:spacing w:line="540" w:lineRule="exact"/>
        <w:ind w:firstLine="640"/>
        <w:rPr>
          <w:rFonts w:hint="default" w:ascii="Times New Roman" w:hAnsi="Times New Roman" w:eastAsia="方正仿宋_GBK" w:cs="Times New Roman"/>
          <w:sz w:val="32"/>
          <w:szCs w:val="32"/>
        </w:rPr>
      </w:pPr>
      <w:bookmarkStart w:id="48" w:name="_Toc5097"/>
      <w:r>
        <w:rPr>
          <w:rFonts w:hint="default" w:ascii="Times New Roman" w:hAnsi="Times New Roman" w:eastAsia="方正仿宋_GBK" w:cs="Times New Roman"/>
          <w:sz w:val="32"/>
          <w:szCs w:val="32"/>
        </w:rPr>
        <w:t>2.白家湾水厂按旧标准和规范建设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无</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highlight w:val="none"/>
          <w:lang w:eastAsia="zh-CN"/>
        </w:rPr>
        <w:t>目前</w:t>
      </w:r>
      <w:r>
        <w:rPr>
          <w:rFonts w:hint="default" w:ascii="Times New Roman" w:hAnsi="Times New Roman" w:eastAsia="方正仿宋_GBK" w:cs="Times New Roman"/>
          <w:color w:val="auto"/>
          <w:sz w:val="32"/>
          <w:szCs w:val="32"/>
          <w:highlight w:val="none"/>
        </w:rPr>
        <w:t>环保要求越来越高</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sz w:val="32"/>
          <w:szCs w:val="32"/>
        </w:rPr>
        <w:t>老旧工艺已经无法满足现行需求。</w:t>
      </w:r>
      <w:bookmarkEnd w:id="48"/>
    </w:p>
    <w:p>
      <w:pPr>
        <w:pStyle w:val="18"/>
        <w:spacing w:line="560" w:lineRule="exact"/>
        <w:ind w:firstLine="640"/>
        <w:rPr>
          <w:rFonts w:hint="default" w:ascii="Times New Roman" w:hAnsi="Times New Roman" w:eastAsia="方正仿宋_GBK" w:cs="Times New Roman"/>
          <w:sz w:val="32"/>
          <w:szCs w:val="32"/>
        </w:rPr>
      </w:pPr>
      <w:bookmarkStart w:id="49" w:name="_Toc2661"/>
      <w:r>
        <w:rPr>
          <w:rFonts w:hint="default" w:ascii="Times New Roman" w:hAnsi="Times New Roman" w:eastAsia="方正仿宋_GBK" w:cs="Times New Roman"/>
          <w:sz w:val="32"/>
          <w:szCs w:val="32"/>
        </w:rPr>
        <w:t>3.白家湾水厂建设年份较久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设备陈旧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洞塘水库源水水质</w:t>
      </w:r>
      <w:r>
        <w:rPr>
          <w:rFonts w:hint="default" w:ascii="Times New Roman" w:hAnsi="Times New Roman" w:eastAsia="方正仿宋_GBK" w:cs="Times New Roman"/>
          <w:color w:val="auto"/>
          <w:sz w:val="32"/>
          <w:szCs w:val="32"/>
          <w:highlight w:val="none"/>
        </w:rPr>
        <w:t>受低温低浊和低温高浊因素</w:t>
      </w:r>
      <w:r>
        <w:rPr>
          <w:rFonts w:hint="default" w:ascii="Times New Roman" w:hAnsi="Times New Roman" w:eastAsia="方正仿宋_GBK" w:cs="Times New Roman"/>
          <w:color w:val="auto"/>
          <w:sz w:val="32"/>
          <w:szCs w:val="32"/>
          <w:highlight w:val="none"/>
          <w:lang w:eastAsia="zh-CN"/>
        </w:rPr>
        <w:t>影响，</w:t>
      </w:r>
      <w:r>
        <w:rPr>
          <w:rFonts w:hint="default" w:ascii="Times New Roman" w:hAnsi="Times New Roman" w:eastAsia="方正仿宋_GBK" w:cs="Times New Roman"/>
          <w:sz w:val="32"/>
          <w:szCs w:val="32"/>
        </w:rPr>
        <w:t>常规处理工艺难以达到水质要求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需要对水厂</w:t>
      </w:r>
      <w:r>
        <w:rPr>
          <w:rFonts w:hint="default" w:ascii="Times New Roman" w:hAnsi="Times New Roman" w:eastAsia="方正仿宋_GBK" w:cs="Times New Roman"/>
          <w:sz w:val="32"/>
          <w:szCs w:val="32"/>
          <w:highlight w:val="none"/>
        </w:rPr>
        <w:t>的设施</w:t>
      </w:r>
      <w:r>
        <w:rPr>
          <w:rFonts w:hint="default" w:ascii="Times New Roman" w:hAnsi="Times New Roman" w:eastAsia="方正仿宋_GBK" w:cs="Times New Roman"/>
          <w:sz w:val="32"/>
          <w:szCs w:val="32"/>
        </w:rPr>
        <w:t>设备及工艺进行改造升级。</w:t>
      </w:r>
      <w:bookmarkEnd w:id="49"/>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4.麻田坝水厂建设年份较久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随着蓬东乡镇发展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highlight w:val="none"/>
          <w:lang w:eastAsia="zh-CN"/>
        </w:rPr>
        <w:t>现状</w:t>
      </w:r>
      <w:r>
        <w:rPr>
          <w:rFonts w:hint="default" w:ascii="Times New Roman" w:hAnsi="Times New Roman" w:eastAsia="方正仿宋_GBK" w:cs="Times New Roman"/>
          <w:sz w:val="32"/>
          <w:szCs w:val="32"/>
        </w:rPr>
        <w:t>取水量已经超过实际取水许可量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需要增加取水许可量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并对水厂及配套设施进行增容改造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提高供水能力。</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50" w:name="_Toc19239"/>
      <w:bookmarkStart w:id="51" w:name="_Toc59975652"/>
      <w:bookmarkStart w:id="52" w:name="_Toc24235"/>
      <w:r>
        <w:rPr>
          <w:rFonts w:hint="default" w:ascii="Times New Roman" w:hAnsi="Times New Roman" w:eastAsia="方正黑体_GBK" w:cs="Times New Roman"/>
          <w:b w:val="0"/>
          <w:bCs/>
          <w:kern w:val="2"/>
          <w:sz w:val="32"/>
          <w:szCs w:val="32"/>
        </w:rPr>
        <w:t>三、供水管网现状</w:t>
      </w:r>
      <w:bookmarkEnd w:id="50"/>
      <w:bookmarkEnd w:id="51"/>
      <w:bookmarkEnd w:id="52"/>
    </w:p>
    <w:p>
      <w:pPr>
        <w:pStyle w:val="18"/>
        <w:spacing w:line="560" w:lineRule="exact"/>
        <w:ind w:firstLine="640"/>
        <w:rPr>
          <w:rFonts w:hint="default" w:ascii="Times New Roman" w:hAnsi="Times New Roman" w:eastAsia="方正楷体_GBK" w:cs="Times New Roman"/>
          <w:sz w:val="32"/>
          <w:szCs w:val="32"/>
        </w:rPr>
      </w:pPr>
      <w:bookmarkStart w:id="53" w:name="_Toc59975653"/>
      <w:bookmarkStart w:id="54" w:name="_Toc8216"/>
      <w:r>
        <w:rPr>
          <w:rFonts w:hint="default" w:ascii="Times New Roman" w:hAnsi="Times New Roman" w:eastAsia="方正楷体_GBK" w:cs="Times New Roman"/>
          <w:sz w:val="32"/>
          <w:szCs w:val="32"/>
        </w:rPr>
        <w:t>（一）管网现状</w:t>
      </w:r>
      <w:bookmarkEnd w:id="53"/>
      <w:bookmarkEnd w:id="54"/>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老城片区由白家湾、三元宫水厂供水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两水厂出厂水管径为DN600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两水厂通过新华大道DN600管道联网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互为补充。</w:t>
      </w:r>
      <w:r>
        <w:rPr>
          <w:rFonts w:hint="default" w:ascii="Times New Roman" w:hAnsi="Times New Roman" w:eastAsia="方正仿宋_GBK" w:cs="Times New Roman"/>
          <w:sz w:val="32"/>
          <w:szCs w:val="32"/>
          <w:highlight w:val="none"/>
          <w:lang w:eastAsia="zh-CN"/>
        </w:rPr>
        <w:t>其他</w:t>
      </w:r>
      <w:r>
        <w:rPr>
          <w:rFonts w:hint="default" w:ascii="Times New Roman" w:hAnsi="Times New Roman" w:eastAsia="方正仿宋_GBK" w:cs="Times New Roman"/>
          <w:sz w:val="32"/>
          <w:szCs w:val="32"/>
        </w:rPr>
        <w:t>区域在DN600供水</w:t>
      </w:r>
      <w:r>
        <w:rPr>
          <w:rFonts w:hint="default" w:ascii="Times New Roman" w:hAnsi="Times New Roman" w:eastAsia="方正仿宋_GBK" w:cs="Times New Roman"/>
          <w:color w:val="auto"/>
          <w:sz w:val="32"/>
          <w:szCs w:val="32"/>
          <w:highlight w:val="none"/>
        </w:rPr>
        <w:t>管分支安装DN400-100</w:t>
      </w:r>
      <w:r>
        <w:rPr>
          <w:rFonts w:hint="default" w:ascii="Times New Roman" w:hAnsi="Times New Roman" w:eastAsia="方正仿宋_GBK" w:cs="Times New Roman"/>
          <w:color w:val="auto"/>
          <w:sz w:val="32"/>
          <w:szCs w:val="32"/>
          <w:highlight w:val="none"/>
          <w:lang w:eastAsia="zh-CN"/>
        </w:rPr>
        <w:t>管道，</w:t>
      </w:r>
      <w:r>
        <w:rPr>
          <w:rFonts w:hint="default" w:ascii="Times New Roman" w:hAnsi="Times New Roman" w:eastAsia="方正仿宋_GBK" w:cs="Times New Roman"/>
          <w:sz w:val="32"/>
          <w:szCs w:val="32"/>
        </w:rPr>
        <w:t>城区管网已基本形成环状；老城片区有DN100及以上供水管122km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管材类型较多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highlight w:val="none"/>
          <w:lang w:eastAsia="zh-CN"/>
        </w:rPr>
        <w:t>如：</w:t>
      </w:r>
      <w:r>
        <w:rPr>
          <w:rFonts w:hint="default" w:ascii="Times New Roman" w:hAnsi="Times New Roman" w:eastAsia="方正仿宋_GBK" w:cs="Times New Roman"/>
          <w:sz w:val="32"/>
          <w:szCs w:val="32"/>
        </w:rPr>
        <w:t>钢管、水泥管、铸铁管、ABS管、PE管等。</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正阳片区以补充和完善正阳新城骨干环状网络为主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建成桐坪路DN300供水管650m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阿蓬江路DN500供水管1380m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香山寺路DN400-200供水管1500m等联网管道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正阳新城供水环网基本形成。</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冯家片区供水</w:t>
      </w:r>
      <w:r>
        <w:rPr>
          <w:rFonts w:hint="default" w:ascii="Times New Roman" w:hAnsi="Times New Roman" w:eastAsia="方正仿宋_GBK" w:cs="Times New Roman"/>
          <w:color w:val="auto"/>
          <w:sz w:val="32"/>
          <w:szCs w:val="32"/>
          <w:highlight w:val="none"/>
          <w:lang w:eastAsia="zh-CN"/>
        </w:rPr>
        <w:t>管</w:t>
      </w:r>
      <w:r>
        <w:rPr>
          <w:rFonts w:hint="default" w:ascii="Times New Roman" w:hAnsi="Times New Roman" w:eastAsia="方正仿宋_GBK" w:cs="Times New Roman"/>
          <w:sz w:val="32"/>
          <w:szCs w:val="32"/>
        </w:rPr>
        <w:t>网在正阳管网末端接入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highlight w:val="none"/>
        </w:rPr>
        <w:t>在冯家黔永创业园高堡建</w:t>
      </w:r>
      <w:r>
        <w:rPr>
          <w:rFonts w:hint="default" w:ascii="Times New Roman" w:hAnsi="Times New Roman" w:eastAsia="方正仿宋_GBK" w:cs="Times New Roman"/>
          <w:color w:val="auto"/>
          <w:sz w:val="32"/>
          <w:szCs w:val="32"/>
          <w:highlight w:val="none"/>
          <w:lang w:eastAsia="zh-CN"/>
        </w:rPr>
        <w:t>设</w:t>
      </w:r>
      <w:r>
        <w:rPr>
          <w:rFonts w:hint="default" w:ascii="Times New Roman" w:hAnsi="Times New Roman" w:eastAsia="方正仿宋_GBK" w:cs="Times New Roman"/>
          <w:color w:val="auto"/>
          <w:sz w:val="32"/>
          <w:szCs w:val="32"/>
          <w:highlight w:val="none"/>
        </w:rPr>
        <w:t>2000m</w:t>
      </w:r>
      <w:r>
        <w:rPr>
          <w:rFonts w:hint="default" w:ascii="Times New Roman" w:hAnsi="Times New Roman" w:eastAsia="方正仿宋_GBK" w:cs="Times New Roman"/>
          <w:color w:val="auto"/>
          <w:sz w:val="32"/>
          <w:szCs w:val="32"/>
          <w:highlight w:val="none"/>
          <w:vertAlign w:val="superscript"/>
        </w:rPr>
        <w:t>3</w:t>
      </w:r>
      <w:r>
        <w:rPr>
          <w:rFonts w:hint="default" w:ascii="Times New Roman" w:hAnsi="Times New Roman" w:eastAsia="方正仿宋_GBK" w:cs="Times New Roman"/>
          <w:color w:val="auto"/>
          <w:sz w:val="32"/>
          <w:szCs w:val="32"/>
          <w:highlight w:val="none"/>
        </w:rPr>
        <w:t>调节水池一座</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增</w:t>
      </w:r>
      <w:r>
        <w:rPr>
          <w:rFonts w:hint="default" w:ascii="Times New Roman" w:hAnsi="Times New Roman" w:eastAsia="方正仿宋_GBK" w:cs="Times New Roman"/>
          <w:sz w:val="32"/>
          <w:szCs w:val="32"/>
          <w:highlight w:val="none"/>
        </w:rPr>
        <w:t>加</w:t>
      </w:r>
      <w:r>
        <w:rPr>
          <w:rFonts w:hint="default" w:ascii="Times New Roman" w:hAnsi="Times New Roman" w:eastAsia="方正仿宋_GBK" w:cs="Times New Roman"/>
          <w:sz w:val="32"/>
          <w:szCs w:val="32"/>
        </w:rPr>
        <w:t>中途补氯设施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区域内给水管最大管径DN400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枝状布置；冯家片区有DN100及以上供水管28km。</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青杠片区供水</w:t>
      </w:r>
      <w:r>
        <w:rPr>
          <w:rFonts w:hint="default" w:ascii="Times New Roman" w:hAnsi="Times New Roman" w:eastAsia="方正仿宋_GBK" w:cs="Times New Roman"/>
          <w:color w:val="auto"/>
          <w:sz w:val="32"/>
          <w:szCs w:val="32"/>
          <w:lang w:eastAsia="zh-CN"/>
        </w:rPr>
        <w:t>管网</w:t>
      </w:r>
      <w:r>
        <w:rPr>
          <w:rFonts w:hint="default" w:ascii="Times New Roman" w:hAnsi="Times New Roman" w:eastAsia="方正仿宋_GBK" w:cs="Times New Roman"/>
          <w:sz w:val="32"/>
          <w:szCs w:val="32"/>
        </w:rPr>
        <w:t>在正阳管网末端接入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穿正青隧洞至青杠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区域内</w:t>
      </w:r>
      <w:r>
        <w:rPr>
          <w:rFonts w:hint="default" w:ascii="Times New Roman" w:hAnsi="Times New Roman" w:eastAsia="方正仿宋_GBK" w:cs="Times New Roman"/>
          <w:sz w:val="32"/>
          <w:szCs w:val="32"/>
          <w:highlight w:val="none"/>
        </w:rPr>
        <w:t>给水管主干管最大管径</w:t>
      </w:r>
      <w:r>
        <w:rPr>
          <w:rFonts w:hint="default" w:ascii="Times New Roman" w:hAnsi="Times New Roman" w:eastAsia="方正仿宋_GBK" w:cs="Times New Roman"/>
          <w:sz w:val="32"/>
          <w:szCs w:val="32"/>
        </w:rPr>
        <w:t>为DN400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枝状布置。青杠片区有DN100及以上供水管28km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管材以PE管为主。</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舟白片区输配水管网总长约5212 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主管管径为DN400和DN315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输配水管网管材均为HDPE管。管网覆盖了舟白街道路东、武陵山、县坝、箭坝、石门及城东杉木</w:t>
      </w:r>
      <w:r>
        <w:rPr>
          <w:rFonts w:hint="default" w:ascii="Times New Roman" w:hAnsi="Times New Roman" w:eastAsia="方正仿宋_GBK" w:cs="Times New Roman"/>
          <w:color w:val="auto"/>
          <w:sz w:val="32"/>
          <w:szCs w:val="32"/>
          <w:highlight w:val="none"/>
        </w:rPr>
        <w:t>等六个居委</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201</w:t>
      </w:r>
      <w:r>
        <w:rPr>
          <w:rFonts w:hint="default" w:ascii="Times New Roman" w:hAnsi="Times New Roman" w:eastAsia="方正仿宋_GBK" w:cs="Times New Roman"/>
          <w:color w:val="auto"/>
          <w:sz w:val="32"/>
          <w:szCs w:val="32"/>
          <w:highlight w:val="none"/>
          <w:lang w:val="en-US" w:eastAsia="zh-CN"/>
        </w:rPr>
        <w:t>9</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eastAsia="zh-CN"/>
        </w:rPr>
        <w:t>在区水利局实施的城乡供水一体化建设中，</w:t>
      </w:r>
      <w:r>
        <w:rPr>
          <w:rFonts w:hint="default" w:ascii="Times New Roman" w:hAnsi="Times New Roman" w:eastAsia="方正仿宋_GBK" w:cs="Times New Roman"/>
          <w:color w:val="auto"/>
          <w:sz w:val="32"/>
          <w:szCs w:val="32"/>
          <w:highlight w:val="none"/>
        </w:rPr>
        <w:t>舟白</w:t>
      </w:r>
      <w:r>
        <w:rPr>
          <w:rFonts w:hint="default" w:ascii="Times New Roman" w:hAnsi="Times New Roman" w:eastAsia="方正仿宋_GBK" w:cs="Times New Roman"/>
          <w:color w:val="auto"/>
          <w:sz w:val="32"/>
          <w:szCs w:val="32"/>
          <w:highlight w:val="none"/>
          <w:lang w:eastAsia="zh-CN"/>
        </w:rPr>
        <w:t>水厂</w:t>
      </w:r>
      <w:r>
        <w:rPr>
          <w:rFonts w:hint="default" w:ascii="Times New Roman" w:hAnsi="Times New Roman" w:eastAsia="方正仿宋_GBK" w:cs="Times New Roman"/>
          <w:color w:val="auto"/>
          <w:sz w:val="32"/>
          <w:szCs w:val="32"/>
          <w:highlight w:val="none"/>
        </w:rPr>
        <w:t>供水</w:t>
      </w:r>
      <w:r>
        <w:rPr>
          <w:rFonts w:hint="default" w:ascii="Times New Roman" w:hAnsi="Times New Roman" w:eastAsia="方正仿宋_GBK" w:cs="Times New Roman"/>
          <w:color w:val="auto"/>
          <w:sz w:val="32"/>
          <w:szCs w:val="32"/>
          <w:highlight w:val="none"/>
          <w:lang w:eastAsia="zh-CN"/>
        </w:rPr>
        <w:t>范围</w:t>
      </w:r>
      <w:r>
        <w:rPr>
          <w:rFonts w:hint="default" w:ascii="Times New Roman" w:hAnsi="Times New Roman" w:eastAsia="方正仿宋_GBK" w:cs="Times New Roman"/>
          <w:color w:val="auto"/>
          <w:sz w:val="32"/>
          <w:szCs w:val="32"/>
          <w:highlight w:val="none"/>
        </w:rPr>
        <w:t>向中塘镇延伸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覆盖中塘兴泉居</w:t>
      </w:r>
      <w:r>
        <w:rPr>
          <w:rFonts w:hint="default" w:ascii="Times New Roman" w:hAnsi="Times New Roman" w:eastAsia="方正仿宋_GBK" w:cs="Times New Roman"/>
          <w:sz w:val="32"/>
          <w:szCs w:val="32"/>
        </w:rPr>
        <w:t>委2、3、4组和中塘、迎新、胜利居委。</w:t>
      </w:r>
    </w:p>
    <w:p>
      <w:pPr>
        <w:pStyle w:val="18"/>
        <w:spacing w:line="560" w:lineRule="exact"/>
        <w:ind w:firstLine="640"/>
        <w:rPr>
          <w:rFonts w:hint="default" w:ascii="Times New Roman" w:hAnsi="Times New Roman" w:eastAsia="方正楷体_GBK" w:cs="Times New Roman"/>
          <w:sz w:val="32"/>
          <w:szCs w:val="32"/>
        </w:rPr>
      </w:pPr>
      <w:bookmarkStart w:id="55" w:name="_Toc59975654"/>
      <w:bookmarkStart w:id="56" w:name="_Toc12480"/>
      <w:r>
        <w:rPr>
          <w:rFonts w:hint="default" w:ascii="Times New Roman" w:hAnsi="Times New Roman" w:eastAsia="方正楷体_GBK" w:cs="Times New Roman"/>
          <w:sz w:val="32"/>
          <w:szCs w:val="32"/>
        </w:rPr>
        <w:t>（二）加压泵站、调节池现状</w:t>
      </w:r>
      <w:bookmarkEnd w:id="55"/>
      <w:bookmarkEnd w:id="56"/>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黔江区城区目前已建成使用的加压泵站及调节池情况如下：</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谭家湾加压泵站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主要解决城东街道谭家湾居民区、文汇路、中波巷等</w:t>
      </w:r>
      <w:r>
        <w:rPr>
          <w:rFonts w:hint="default" w:ascii="Times New Roman" w:hAnsi="Times New Roman" w:eastAsia="方正仿宋_GBK" w:cs="Times New Roman"/>
          <w:sz w:val="32"/>
          <w:szCs w:val="32"/>
          <w:highlight w:val="none"/>
        </w:rPr>
        <w:t>高地海</w:t>
      </w:r>
      <w:r>
        <w:rPr>
          <w:rFonts w:hint="eastAsia" w:eastAsia="方正仿宋_GBK" w:cs="Times New Roman"/>
          <w:sz w:val="32"/>
          <w:szCs w:val="32"/>
          <w:highlight w:val="none"/>
          <w:lang w:eastAsia="zh-CN"/>
        </w:rPr>
        <w:t>拔</w:t>
      </w:r>
      <w:r>
        <w:rPr>
          <w:rFonts w:hint="default" w:ascii="Times New Roman" w:hAnsi="Times New Roman" w:eastAsia="方正仿宋_GBK" w:cs="Times New Roman"/>
          <w:sz w:val="32"/>
          <w:szCs w:val="32"/>
          <w:highlight w:val="none"/>
        </w:rPr>
        <w:t>超过610-680m居民用水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建有1座400m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高位调节水池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重力流供水。</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桃子坝供水泵站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主要解决城西街道情侣山、二环路等</w:t>
      </w:r>
      <w:r>
        <w:rPr>
          <w:rFonts w:hint="default" w:ascii="Times New Roman" w:hAnsi="Times New Roman" w:eastAsia="方正仿宋_GBK" w:cs="Times New Roman"/>
          <w:sz w:val="32"/>
          <w:szCs w:val="32"/>
          <w:highlight w:val="none"/>
        </w:rPr>
        <w:t>高地</w:t>
      </w:r>
      <w:r>
        <w:rPr>
          <w:rFonts w:hint="default" w:ascii="Times New Roman" w:hAnsi="Times New Roman" w:eastAsia="方正仿宋_GBK" w:cs="Times New Roman"/>
          <w:sz w:val="32"/>
          <w:szCs w:val="32"/>
          <w:highlight w:val="none"/>
          <w:lang w:eastAsia="zh-CN"/>
        </w:rPr>
        <w:t>海拔</w:t>
      </w:r>
      <w:r>
        <w:rPr>
          <w:rFonts w:hint="default" w:ascii="Times New Roman" w:hAnsi="Times New Roman" w:eastAsia="方正仿宋_GBK" w:cs="Times New Roman"/>
          <w:sz w:val="32"/>
          <w:szCs w:val="32"/>
          <w:highlight w:val="none"/>
        </w:rPr>
        <w:t>超过610m-690m居民用水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建有1座</w:t>
      </w:r>
      <w:r>
        <w:rPr>
          <w:rFonts w:hint="default" w:ascii="Times New Roman" w:hAnsi="Times New Roman" w:eastAsia="方正仿宋_GBK" w:cs="Times New Roman"/>
          <w:sz w:val="32"/>
          <w:szCs w:val="32"/>
          <w:highlight w:val="none"/>
        </w:rPr>
        <w:t>容积</w:t>
      </w:r>
      <w:r>
        <w:rPr>
          <w:rFonts w:hint="default" w:ascii="Times New Roman" w:hAnsi="Times New Roman" w:eastAsia="方正仿宋_GBK" w:cs="Times New Roman"/>
          <w:sz w:val="32"/>
          <w:szCs w:val="32"/>
        </w:rPr>
        <w:t>600m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高位调节水池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重力流供水。</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跑马山加压泵站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主要解决城南街道跑马山等</w:t>
      </w:r>
      <w:r>
        <w:rPr>
          <w:rFonts w:hint="default" w:ascii="Times New Roman" w:hAnsi="Times New Roman" w:eastAsia="方正仿宋_GBK" w:cs="Times New Roman"/>
          <w:sz w:val="32"/>
          <w:szCs w:val="32"/>
          <w:highlight w:val="none"/>
        </w:rPr>
        <w:t>高地海</w:t>
      </w:r>
      <w:r>
        <w:rPr>
          <w:rFonts w:hint="eastAsia" w:eastAsia="方正仿宋_GBK" w:cs="Times New Roman"/>
          <w:sz w:val="32"/>
          <w:szCs w:val="32"/>
          <w:highlight w:val="none"/>
          <w:lang w:eastAsia="zh-CN"/>
        </w:rPr>
        <w:t>拔</w:t>
      </w:r>
      <w:r>
        <w:rPr>
          <w:rFonts w:hint="default" w:ascii="Times New Roman" w:hAnsi="Times New Roman" w:eastAsia="方正仿宋_GBK" w:cs="Times New Roman"/>
          <w:sz w:val="32"/>
          <w:szCs w:val="32"/>
          <w:highlight w:val="none"/>
        </w:rPr>
        <w:t>超过610m-770m居民用水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建有1座200m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高位调节水池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重力流供水。</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环山路加压泵站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主要解决城东街道环山路沿线等高地</w:t>
      </w:r>
      <w:r>
        <w:rPr>
          <w:rFonts w:hint="default" w:ascii="Times New Roman" w:hAnsi="Times New Roman" w:eastAsia="方正仿宋_GBK" w:cs="Times New Roman"/>
          <w:sz w:val="32"/>
          <w:szCs w:val="32"/>
          <w:highlight w:val="none"/>
          <w:lang w:eastAsia="zh-CN"/>
        </w:rPr>
        <w:t>海拔</w:t>
      </w:r>
      <w:r>
        <w:rPr>
          <w:rFonts w:hint="default" w:ascii="Times New Roman" w:hAnsi="Times New Roman" w:eastAsia="方正仿宋_GBK" w:cs="Times New Roman"/>
          <w:sz w:val="32"/>
          <w:szCs w:val="32"/>
        </w:rPr>
        <w:t>超过610-760m居民用水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建有1座500m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高位调节水池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重力流供水。</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黑山加压泵站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主要解决城南街道黑山居委片区等高地海</w:t>
      </w:r>
      <w:r>
        <w:rPr>
          <w:rFonts w:hint="eastAsia" w:eastAsia="方正仿宋_GBK" w:cs="Times New Roman"/>
          <w:sz w:val="32"/>
          <w:szCs w:val="32"/>
          <w:lang w:eastAsia="zh-CN"/>
        </w:rPr>
        <w:t>拔</w:t>
      </w:r>
      <w:r>
        <w:rPr>
          <w:rFonts w:hint="default" w:ascii="Times New Roman" w:hAnsi="Times New Roman" w:eastAsia="方正仿宋_GBK" w:cs="Times New Roman"/>
          <w:sz w:val="32"/>
          <w:szCs w:val="32"/>
        </w:rPr>
        <w:t>超过610m居民用水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建有1座200m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高位调节水池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重力流供水。</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武陵监狱加压泵站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解决城西迎宾大道沿线高地</w:t>
      </w:r>
      <w:r>
        <w:rPr>
          <w:rFonts w:hint="default" w:ascii="Times New Roman" w:hAnsi="Times New Roman" w:eastAsia="方正仿宋_GBK" w:cs="Times New Roman"/>
          <w:sz w:val="32"/>
          <w:szCs w:val="32"/>
          <w:highlight w:val="none"/>
          <w:lang w:eastAsia="zh-CN"/>
        </w:rPr>
        <w:t>海拔</w:t>
      </w:r>
      <w:r>
        <w:rPr>
          <w:rFonts w:hint="default" w:ascii="Times New Roman" w:hAnsi="Times New Roman" w:eastAsia="方正仿宋_GBK" w:cs="Times New Roman"/>
          <w:sz w:val="32"/>
          <w:szCs w:val="32"/>
        </w:rPr>
        <w:t>超过610-705m及册山集镇区域居民用水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1座150 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水箱</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全自动无人值守运行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加压供水。</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正阳山加压泵站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主要解决城南街道正阳山等</w:t>
      </w:r>
      <w:r>
        <w:rPr>
          <w:rFonts w:hint="default" w:ascii="Times New Roman" w:hAnsi="Times New Roman" w:eastAsia="方正仿宋_GBK" w:cs="Times New Roman"/>
          <w:sz w:val="32"/>
          <w:szCs w:val="32"/>
          <w:highlight w:val="none"/>
          <w:lang w:eastAsia="zh-CN"/>
        </w:rPr>
        <w:t>海拔</w:t>
      </w:r>
      <w:r>
        <w:rPr>
          <w:rFonts w:hint="default" w:ascii="Times New Roman" w:hAnsi="Times New Roman" w:eastAsia="方正仿宋_GBK" w:cs="Times New Roman"/>
          <w:sz w:val="32"/>
          <w:szCs w:val="32"/>
        </w:rPr>
        <w:t>超过610m-970m景区和居民用水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建有1座200m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高位调节水池容积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重力流供水。</w:t>
      </w:r>
    </w:p>
    <w:p>
      <w:pPr>
        <w:pStyle w:val="18"/>
        <w:spacing w:line="560" w:lineRule="exact"/>
        <w:ind w:firstLine="640"/>
        <w:rPr>
          <w:rFonts w:hint="default" w:ascii="Times New Roman" w:hAnsi="Times New Roman" w:eastAsia="方正楷体_GBK" w:cs="Times New Roman"/>
          <w:sz w:val="32"/>
          <w:szCs w:val="32"/>
        </w:rPr>
      </w:pPr>
      <w:bookmarkStart w:id="57" w:name="_Toc59975655"/>
      <w:bookmarkStart w:id="58" w:name="_Toc4330"/>
      <w:r>
        <w:rPr>
          <w:rFonts w:hint="default" w:ascii="Times New Roman" w:hAnsi="Times New Roman" w:eastAsia="方正楷体_GBK" w:cs="Times New Roman"/>
          <w:sz w:val="32"/>
          <w:szCs w:val="32"/>
        </w:rPr>
        <w:t>（三）管网水质现状</w:t>
      </w:r>
      <w:bookmarkEnd w:id="57"/>
      <w:bookmarkEnd w:id="58"/>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各水厂出厂水、管网水水质月检测报告42项指标中</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有7项指标</w:t>
      </w:r>
      <w:r>
        <w:rPr>
          <w:rFonts w:hint="default" w:ascii="Times New Roman" w:hAnsi="Times New Roman" w:eastAsia="方正仿宋_GBK" w:cs="Times New Roman"/>
          <w:sz w:val="32"/>
          <w:szCs w:val="32"/>
          <w:highlight w:val="none"/>
        </w:rPr>
        <w:t>无检测结果</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rPr>
        <w:t>分别是氯酸盐、溴酸盐、亚氯酸盐、耐热大肠菌群、甲醛、二氧化氯、臭氧；</w:t>
      </w:r>
      <w:r>
        <w:rPr>
          <w:rFonts w:hint="default" w:ascii="Times New Roman" w:hAnsi="Times New Roman" w:eastAsia="方正仿宋_GBK" w:cs="Times New Roman"/>
          <w:sz w:val="32"/>
          <w:szCs w:val="32"/>
          <w:highlight w:val="none"/>
          <w:lang w:eastAsia="zh-CN"/>
        </w:rPr>
        <w:t>其他</w:t>
      </w:r>
      <w:r>
        <w:rPr>
          <w:rFonts w:hint="default" w:ascii="Times New Roman" w:hAnsi="Times New Roman" w:eastAsia="方正仿宋_GBK" w:cs="Times New Roman"/>
          <w:sz w:val="32"/>
          <w:szCs w:val="32"/>
        </w:rPr>
        <w:t>35项均未超过标准限值</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水质现状符合要求。</w:t>
      </w:r>
    </w:p>
    <w:p>
      <w:pPr>
        <w:pStyle w:val="18"/>
        <w:spacing w:line="560" w:lineRule="exact"/>
        <w:ind w:firstLine="640"/>
        <w:rPr>
          <w:rFonts w:hint="default" w:ascii="Times New Roman" w:hAnsi="Times New Roman" w:eastAsia="方正楷体_GBK" w:cs="Times New Roman"/>
          <w:sz w:val="32"/>
          <w:szCs w:val="32"/>
        </w:rPr>
      </w:pPr>
      <w:bookmarkStart w:id="59" w:name="_Toc59975667"/>
      <w:bookmarkStart w:id="60" w:name="_Toc30773"/>
      <w:r>
        <w:rPr>
          <w:rFonts w:hint="default" w:ascii="Times New Roman" w:hAnsi="Times New Roman" w:eastAsia="方正楷体_GBK" w:cs="Times New Roman"/>
          <w:sz w:val="32"/>
          <w:szCs w:val="32"/>
        </w:rPr>
        <w:t>（四）2019年公共管网漏损率及管网欠压和抢修情况</w:t>
      </w:r>
      <w:bookmarkEnd w:id="59"/>
      <w:bookmarkEnd w:id="60"/>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黔江区2019年城区公共管网漏损率为11.76%；管网跌压0.01MPa</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管网欠压情况正常。</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黔江区2019年共计抢修次数681次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其中DN200管径以上的共抢修52次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DN200管径以下的共抢修629次。</w:t>
      </w:r>
    </w:p>
    <w:p>
      <w:pPr>
        <w:pStyle w:val="18"/>
        <w:spacing w:line="560" w:lineRule="exact"/>
        <w:ind w:firstLine="640"/>
        <w:rPr>
          <w:rFonts w:hint="default" w:ascii="Times New Roman" w:hAnsi="Times New Roman" w:eastAsia="方正楷体_GBK" w:cs="Times New Roman"/>
          <w:sz w:val="32"/>
          <w:szCs w:val="32"/>
        </w:rPr>
      </w:pPr>
      <w:bookmarkStart w:id="61" w:name="_Toc16570"/>
      <w:r>
        <w:rPr>
          <w:rFonts w:hint="default" w:ascii="Times New Roman" w:hAnsi="Times New Roman" w:eastAsia="方正楷体_GBK" w:cs="Times New Roman"/>
          <w:sz w:val="32"/>
          <w:szCs w:val="32"/>
        </w:rPr>
        <w:t>（五）供水管网存在的问题</w:t>
      </w:r>
      <w:bookmarkEnd w:id="61"/>
    </w:p>
    <w:p>
      <w:pPr>
        <w:pStyle w:val="18"/>
        <w:spacing w:line="560" w:lineRule="exact"/>
        <w:ind w:firstLine="64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1.老城片区部分区域供水管</w:t>
      </w:r>
      <w:r>
        <w:rPr>
          <w:rFonts w:hint="default" w:ascii="Times New Roman" w:hAnsi="Times New Roman" w:eastAsia="方正仿宋_GBK" w:cs="Times New Roman"/>
          <w:color w:val="auto"/>
          <w:sz w:val="32"/>
          <w:szCs w:val="32"/>
          <w:lang w:eastAsia="zh-CN"/>
        </w:rPr>
        <w:t>管</w:t>
      </w:r>
      <w:r>
        <w:rPr>
          <w:rFonts w:hint="default" w:ascii="Times New Roman" w:hAnsi="Times New Roman" w:eastAsia="方正仿宋_GBK" w:cs="Times New Roman"/>
          <w:sz w:val="32"/>
          <w:szCs w:val="32"/>
        </w:rPr>
        <w:t>龄长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锈蚀严重</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管材已</w:t>
      </w:r>
      <w:r>
        <w:rPr>
          <w:rFonts w:hint="default" w:ascii="Times New Roman" w:hAnsi="Times New Roman" w:eastAsia="方正仿宋_GBK" w:cs="Times New Roman"/>
          <w:color w:val="auto"/>
          <w:sz w:val="32"/>
          <w:szCs w:val="32"/>
          <w:highlight w:val="none"/>
        </w:rPr>
        <w:t>落后淘汰</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影响供水效率和水质</w:t>
      </w:r>
      <w:r>
        <w:rPr>
          <w:rFonts w:hint="default" w:ascii="Times New Roman" w:hAnsi="Times New Roman" w:eastAsia="方正仿宋_GBK" w:cs="Times New Roman"/>
          <w:sz w:val="32"/>
          <w:szCs w:val="32"/>
          <w:highlight w:val="none"/>
          <w:lang w:eastAsia="zh-CN"/>
        </w:rPr>
        <w:t>的</w:t>
      </w:r>
      <w:r>
        <w:rPr>
          <w:rFonts w:hint="default" w:ascii="Times New Roman" w:hAnsi="Times New Roman" w:eastAsia="方正仿宋_GBK" w:cs="Times New Roman"/>
          <w:sz w:val="32"/>
          <w:szCs w:val="32"/>
          <w:highlight w:val="none"/>
        </w:rPr>
        <w:t>全。</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2.正阳、冯家、青杠片区水压大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DN150以上供水干管普遍采用非金属PE管材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highlight w:val="none"/>
        </w:rPr>
        <w:t>受季节变化、地质沉降、外力作用等因素</w:t>
      </w:r>
      <w:r>
        <w:rPr>
          <w:rFonts w:hint="default" w:ascii="Times New Roman" w:hAnsi="Times New Roman" w:eastAsia="方正仿宋_GBK" w:cs="Times New Roman"/>
          <w:color w:val="auto"/>
          <w:sz w:val="32"/>
          <w:szCs w:val="32"/>
          <w:highlight w:val="none"/>
          <w:lang w:eastAsia="zh-CN"/>
        </w:rPr>
        <w:t>影响</w:t>
      </w:r>
      <w:r>
        <w:rPr>
          <w:rFonts w:hint="default" w:ascii="Times New Roman" w:hAnsi="Times New Roman" w:eastAsia="方正仿宋_GBK" w:cs="Times New Roman"/>
          <w:color w:val="auto"/>
          <w:sz w:val="32"/>
          <w:szCs w:val="32"/>
          <w:highlight w:val="none"/>
        </w:rPr>
        <w:t>频发爆管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用水稳定性差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管网漏损率难以控制。</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3.老城片区至青杠片区供水管网互联互通建设滞后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导致城市四片区大环状供水</w:t>
      </w:r>
      <w:r>
        <w:rPr>
          <w:rFonts w:hint="default" w:ascii="Times New Roman" w:hAnsi="Times New Roman" w:eastAsia="方正仿宋_GBK" w:cs="Times New Roman"/>
          <w:sz w:val="32"/>
          <w:szCs w:val="32"/>
          <w:lang w:eastAsia="zh-CN"/>
        </w:rPr>
        <w:t>网络</w:t>
      </w:r>
      <w:r>
        <w:rPr>
          <w:rFonts w:hint="default" w:ascii="Times New Roman" w:hAnsi="Times New Roman" w:eastAsia="方正仿宋_GBK" w:cs="Times New Roman"/>
          <w:sz w:val="32"/>
          <w:szCs w:val="32"/>
        </w:rPr>
        <w:t>无法形成。</w:t>
      </w:r>
    </w:p>
    <w:p>
      <w:pPr>
        <w:pStyle w:val="18"/>
        <w:spacing w:line="540" w:lineRule="exact"/>
        <w:ind w:firstLine="640"/>
        <w:rPr>
          <w:rFonts w:hint="default" w:ascii="Times New Roman" w:hAnsi="Times New Roman" w:eastAsia="方正仿宋_GBK" w:cs="Times New Roman"/>
          <w:color w:val="auto"/>
          <w:sz w:val="32"/>
          <w:szCs w:val="32"/>
          <w:highlight w:val="none"/>
        </w:rPr>
      </w:pPr>
      <w:bookmarkStart w:id="62" w:name="_Toc15953"/>
      <w:bookmarkStart w:id="63" w:name="_Toc5149"/>
      <w:r>
        <w:rPr>
          <w:rFonts w:hint="default" w:ascii="Times New Roman" w:hAnsi="Times New Roman" w:eastAsia="方正仿宋_GBK" w:cs="Times New Roman"/>
          <w:sz w:val="32"/>
          <w:szCs w:val="32"/>
        </w:rPr>
        <w:t>4.三元宫、正阳水厂的</w:t>
      </w:r>
      <w:r>
        <w:rPr>
          <w:rFonts w:hint="default" w:ascii="Times New Roman" w:hAnsi="Times New Roman" w:eastAsia="方正仿宋_GBK" w:cs="Times New Roman"/>
          <w:sz w:val="32"/>
          <w:szCs w:val="32"/>
          <w:highlight w:val="none"/>
        </w:rPr>
        <w:t>现状</w:t>
      </w:r>
      <w:r>
        <w:rPr>
          <w:rFonts w:hint="default" w:ascii="Times New Roman" w:hAnsi="Times New Roman" w:eastAsia="方正仿宋_GBK" w:cs="Times New Roman"/>
          <w:sz w:val="32"/>
          <w:szCs w:val="32"/>
        </w:rPr>
        <w:t>出厂水一级干管管径偏小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无法满足远期水厂扩建输水需求。其中：三元宫水厂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现状制水规模3万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highlight w:val="none"/>
        </w:rPr>
        <w:t>d</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远</w:t>
      </w:r>
      <w:r>
        <w:rPr>
          <w:rFonts w:hint="default" w:ascii="Times New Roman" w:hAnsi="Times New Roman" w:eastAsia="方正仿宋_GBK" w:cs="Times New Roman"/>
          <w:sz w:val="32"/>
          <w:szCs w:val="32"/>
        </w:rPr>
        <w:t>景5万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highlight w:val="none"/>
        </w:rPr>
        <w:t>现状</w:t>
      </w:r>
      <w:r>
        <w:rPr>
          <w:rFonts w:hint="default" w:ascii="Times New Roman" w:hAnsi="Times New Roman" w:eastAsia="方正仿宋_GBK" w:cs="Times New Roman"/>
          <w:sz w:val="32"/>
          <w:szCs w:val="32"/>
        </w:rPr>
        <w:t>出厂水一级干管管径DN600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能满足</w:t>
      </w:r>
      <w:r>
        <w:rPr>
          <w:rFonts w:hint="default" w:ascii="Times New Roman" w:hAnsi="Times New Roman" w:eastAsia="方正仿宋_GBK" w:cs="Times New Roman"/>
          <w:sz w:val="32"/>
          <w:szCs w:val="32"/>
          <w:highlight w:val="none"/>
        </w:rPr>
        <w:t>近远期</w:t>
      </w:r>
      <w:r>
        <w:rPr>
          <w:rFonts w:hint="default" w:ascii="Times New Roman" w:hAnsi="Times New Roman" w:eastAsia="方正仿宋_GBK" w:cs="Times New Roman"/>
          <w:sz w:val="32"/>
          <w:szCs w:val="32"/>
        </w:rPr>
        <w:t>供水需求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但不能满足</w:t>
      </w:r>
      <w:r>
        <w:rPr>
          <w:rFonts w:hint="default" w:ascii="Times New Roman" w:hAnsi="Times New Roman" w:eastAsia="方正仿宋_GBK" w:cs="Times New Roman"/>
          <w:color w:val="auto"/>
          <w:sz w:val="32"/>
          <w:szCs w:val="32"/>
          <w:highlight w:val="none"/>
        </w:rPr>
        <w:t>远</w:t>
      </w:r>
      <w:r>
        <w:rPr>
          <w:rFonts w:hint="default" w:ascii="Times New Roman" w:hAnsi="Times New Roman" w:eastAsia="方正仿宋_GBK" w:cs="Times New Roman"/>
          <w:color w:val="auto"/>
          <w:sz w:val="32"/>
          <w:szCs w:val="32"/>
          <w:highlight w:val="none"/>
          <w:lang w:eastAsia="zh-CN"/>
        </w:rPr>
        <w:t>景</w:t>
      </w:r>
      <w:r>
        <w:rPr>
          <w:rFonts w:hint="default" w:ascii="Times New Roman" w:hAnsi="Times New Roman" w:eastAsia="方正仿宋_GBK" w:cs="Times New Roman"/>
          <w:color w:val="auto"/>
          <w:sz w:val="32"/>
          <w:szCs w:val="32"/>
          <w:highlight w:val="none"/>
        </w:rPr>
        <w:t>供水量要</w:t>
      </w:r>
      <w:r>
        <w:rPr>
          <w:rFonts w:hint="default" w:ascii="Times New Roman" w:hAnsi="Times New Roman" w:eastAsia="方正仿宋_GBK" w:cs="Times New Roman"/>
          <w:sz w:val="32"/>
          <w:szCs w:val="32"/>
        </w:rPr>
        <w:t>求。老城片区两个水厂进入城区的二级干管管径为DN600-DN300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均在一级干管分支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且基本形成环状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二级干管管径能够满足供水要求。正阳水厂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现状制水规模2万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/d规模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远期增加到4万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最终远景增</w:t>
      </w:r>
      <w:r>
        <w:rPr>
          <w:rFonts w:hint="default" w:ascii="Times New Roman" w:hAnsi="Times New Roman" w:eastAsia="方正仿宋_GBK" w:cs="Times New Roman"/>
          <w:color w:val="auto"/>
          <w:sz w:val="32"/>
          <w:szCs w:val="32"/>
        </w:rPr>
        <w:t>加</w:t>
      </w:r>
      <w:r>
        <w:rPr>
          <w:rFonts w:hint="default" w:ascii="Times New Roman" w:hAnsi="Times New Roman" w:eastAsia="方正仿宋_GBK" w:cs="Times New Roman"/>
          <w:sz w:val="32"/>
          <w:szCs w:val="32"/>
        </w:rPr>
        <w:t>到6万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现状出厂管道为DN400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能满足近期供水需求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w:t>
      </w:r>
      <w:r>
        <w:rPr>
          <w:rFonts w:hint="default" w:ascii="Times New Roman" w:hAnsi="Times New Roman" w:eastAsia="方正仿宋_GBK" w:cs="Times New Roman"/>
          <w:color w:val="auto"/>
          <w:sz w:val="32"/>
          <w:szCs w:val="32"/>
          <w:highlight w:val="none"/>
        </w:rPr>
        <w:t>不能满足远期及终期规模输水能力</w:t>
      </w:r>
      <w:r>
        <w:rPr>
          <w:rFonts w:hint="default" w:ascii="Times New Roman" w:hAnsi="Times New Roman" w:eastAsia="方正仿宋_GBK" w:cs="Times New Roman"/>
          <w:color w:val="auto"/>
          <w:sz w:val="32"/>
          <w:szCs w:val="32"/>
          <w:highlight w:val="none"/>
          <w:lang w:eastAsia="zh-CN"/>
        </w:rPr>
        <w:t>需求</w:t>
      </w:r>
      <w:r>
        <w:rPr>
          <w:rFonts w:hint="default" w:ascii="Times New Roman" w:hAnsi="Times New Roman" w:eastAsia="方正仿宋_GBK" w:cs="Times New Roman"/>
          <w:color w:val="auto"/>
          <w:sz w:val="32"/>
          <w:szCs w:val="32"/>
          <w:highlight w:val="none"/>
        </w:rPr>
        <w:t>。</w:t>
      </w:r>
      <w:bookmarkEnd w:id="62"/>
      <w:bookmarkEnd w:id="63"/>
    </w:p>
    <w:p>
      <w:pPr>
        <w:pStyle w:val="18"/>
        <w:spacing w:line="560" w:lineRule="exact"/>
        <w:ind w:firstLine="640"/>
        <w:rPr>
          <w:rFonts w:hint="default" w:ascii="Times New Roman" w:hAnsi="Times New Roman" w:eastAsia="方正仿宋_GBK" w:cs="Times New Roman"/>
          <w:sz w:val="32"/>
          <w:szCs w:val="32"/>
        </w:rPr>
      </w:pPr>
      <w:bookmarkStart w:id="64" w:name="_Toc28685"/>
      <w:r>
        <w:rPr>
          <w:rFonts w:hint="default" w:ascii="Times New Roman" w:hAnsi="Times New Roman" w:eastAsia="方正仿宋_GBK" w:cs="Times New Roman"/>
          <w:sz w:val="32"/>
          <w:szCs w:val="32"/>
        </w:rPr>
        <w:t>5.正阳物流基地片区城市直供水不能满足区域供水要求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需要通过建设加压泵站解决供水问题。</w:t>
      </w:r>
      <w:bookmarkEnd w:id="64"/>
    </w:p>
    <w:p>
      <w:pPr>
        <w:pStyle w:val="18"/>
        <w:spacing w:line="560" w:lineRule="exact"/>
        <w:ind w:firstLine="64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6.未来城区扩展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划入蓬东片区的区域将由现状的乡镇管理模式转变为中心城区管理模式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现状的单一私营水厂供水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无法满足未来蓬东片区发展需要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同时考虑未来供水管理标准化智能化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应将蓬东片区供水纳入大水厂供水系统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highlight w:val="none"/>
        </w:rPr>
        <w:t>由标准化设施设备供水</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需要从正阳组团延伸供水管网。</w:t>
      </w:r>
    </w:p>
    <w:p>
      <w:pPr>
        <w:pStyle w:val="4"/>
        <w:spacing w:before="0" w:after="0" w:line="560" w:lineRule="exact"/>
        <w:ind w:left="0" w:leftChars="0" w:firstLine="0" w:firstLineChars="0"/>
        <w:jc w:val="center"/>
        <w:rPr>
          <w:rFonts w:hint="default" w:ascii="Times New Roman" w:hAnsi="Times New Roman" w:cs="Times New Roman"/>
          <w:b/>
          <w:bCs/>
          <w:sz w:val="32"/>
          <w:szCs w:val="32"/>
        </w:rPr>
      </w:pPr>
      <w:bookmarkStart w:id="65" w:name="_Toc802"/>
      <w:bookmarkStart w:id="66" w:name="_Toc59975674"/>
    </w:p>
    <w:p>
      <w:pPr>
        <w:pStyle w:val="4"/>
        <w:keepNext w:val="0"/>
        <w:keepLines w:val="0"/>
        <w:pageBreakBefore w:val="0"/>
        <w:widowControl w:val="0"/>
        <w:kinsoku/>
        <w:wordWrap/>
        <w:overflowPunct/>
        <w:topLinePunct w:val="0"/>
        <w:autoSpaceDE/>
        <w:autoSpaceDN/>
        <w:bidi w:val="0"/>
        <w:adjustRightInd/>
        <w:spacing w:before="0" w:after="0" w:line="560" w:lineRule="exact"/>
        <w:ind w:left="0" w:firstLine="880" w:firstLineChars="200"/>
        <w:textAlignment w:val="auto"/>
        <w:rPr>
          <w:rFonts w:hint="default" w:ascii="Times New Roman" w:hAnsi="Times New Roman" w:eastAsia="方正小标宋_GBK" w:cs="Times New Roman"/>
          <w:b w:val="0"/>
          <w:bCs w:val="0"/>
          <w:sz w:val="44"/>
          <w:szCs w:val="44"/>
        </w:rPr>
      </w:pPr>
      <w:bookmarkStart w:id="67" w:name="_Toc2493"/>
      <w:r>
        <w:rPr>
          <w:rFonts w:hint="default" w:ascii="Times New Roman" w:hAnsi="Times New Roman" w:eastAsia="方正小标宋_GBK" w:cs="Times New Roman"/>
          <w:b w:val="0"/>
          <w:bCs w:val="0"/>
          <w:sz w:val="44"/>
          <w:szCs w:val="44"/>
        </w:rPr>
        <w:t>第三章 “十三五”规划回顾与总结</w:t>
      </w:r>
      <w:bookmarkEnd w:id="65"/>
      <w:bookmarkEnd w:id="66"/>
      <w:bookmarkEnd w:id="67"/>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68" w:name="_Toc26761"/>
      <w:bookmarkStart w:id="69" w:name="_Toc59975675"/>
      <w:bookmarkStart w:id="70" w:name="_Toc6560"/>
      <w:r>
        <w:rPr>
          <w:rFonts w:hint="default" w:ascii="Times New Roman" w:hAnsi="Times New Roman" w:eastAsia="方正黑体_GBK" w:cs="Times New Roman"/>
          <w:b w:val="0"/>
          <w:bCs/>
          <w:kern w:val="2"/>
          <w:sz w:val="32"/>
          <w:szCs w:val="32"/>
        </w:rPr>
        <w:t>一、“十三五”规划目标与任务概述</w:t>
      </w:r>
      <w:bookmarkEnd w:id="68"/>
      <w:bookmarkEnd w:id="69"/>
      <w:bookmarkEnd w:id="70"/>
    </w:p>
    <w:p>
      <w:pPr>
        <w:pStyle w:val="18"/>
        <w:spacing w:line="540" w:lineRule="exact"/>
        <w:ind w:firstLine="640"/>
        <w:rPr>
          <w:rFonts w:hint="default" w:ascii="Times New Roman" w:hAnsi="Times New Roman" w:eastAsia="方正仿宋_GBK" w:cs="Times New Roman"/>
          <w:sz w:val="32"/>
          <w:szCs w:val="32"/>
        </w:rPr>
      </w:pPr>
      <w:bookmarkStart w:id="71" w:name="_Toc15027420"/>
      <w:r>
        <w:rPr>
          <w:rFonts w:hint="default" w:ascii="Times New Roman" w:hAnsi="Times New Roman" w:eastAsia="方正仿宋_GBK" w:cs="Times New Roman"/>
          <w:sz w:val="32"/>
          <w:szCs w:val="32"/>
        </w:rPr>
        <w:t>“十三五”供水规划</w:t>
      </w:r>
      <w:r>
        <w:rPr>
          <w:rFonts w:hint="default" w:ascii="Times New Roman" w:hAnsi="Times New Roman" w:eastAsia="方正仿宋_GBK" w:cs="Times New Roman"/>
          <w:color w:val="auto"/>
          <w:sz w:val="32"/>
          <w:szCs w:val="32"/>
          <w:lang w:eastAsia="zh-CN"/>
        </w:rPr>
        <w:t>是</w:t>
      </w:r>
      <w:r>
        <w:rPr>
          <w:rFonts w:hint="default" w:ascii="Times New Roman" w:hAnsi="Times New Roman" w:eastAsia="方正仿宋_GBK" w:cs="Times New Roman"/>
          <w:sz w:val="32"/>
          <w:szCs w:val="32"/>
        </w:rPr>
        <w:t>以城市总体规划为依据做的统一全面规划</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规划从远期全局</w:t>
      </w:r>
      <w:r>
        <w:rPr>
          <w:rFonts w:hint="default" w:ascii="Times New Roman" w:hAnsi="Times New Roman" w:eastAsia="方正仿宋_GBK" w:cs="Times New Roman"/>
          <w:sz w:val="32"/>
          <w:szCs w:val="32"/>
          <w:lang w:eastAsia="zh-CN"/>
        </w:rPr>
        <w:t>着</w:t>
      </w:r>
      <w:r>
        <w:rPr>
          <w:rFonts w:hint="default" w:ascii="Times New Roman" w:hAnsi="Times New Roman" w:eastAsia="方正仿宋_GBK" w:cs="Times New Roman"/>
          <w:sz w:val="32"/>
          <w:szCs w:val="32"/>
        </w:rPr>
        <w:t>眼</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color w:val="auto"/>
          <w:sz w:val="32"/>
          <w:szCs w:val="32"/>
          <w:highlight w:val="none"/>
        </w:rPr>
        <w:t>力求城市供水设施布局的合理性和长远的经济效益</w:t>
      </w:r>
      <w:r>
        <w:rPr>
          <w:rFonts w:hint="default" w:ascii="Times New Roman" w:hAnsi="Times New Roman" w:eastAsia="方正仿宋_GBK" w:cs="Times New Roman"/>
          <w:sz w:val="32"/>
          <w:szCs w:val="32"/>
        </w:rPr>
        <w:t>。</w:t>
      </w:r>
      <w:bookmarkEnd w:id="71"/>
      <w:r>
        <w:rPr>
          <w:rFonts w:hint="default" w:ascii="Times New Roman" w:hAnsi="Times New Roman" w:eastAsia="方正仿宋_GBK" w:cs="Times New Roman"/>
          <w:sz w:val="32"/>
          <w:szCs w:val="32"/>
        </w:rPr>
        <w:t>主要规划内容：</w:t>
      </w:r>
    </w:p>
    <w:p>
      <w:pPr>
        <w:spacing w:line="540" w:lineRule="exact"/>
        <w:ind w:firstLine="640"/>
        <w:rPr>
          <w:rFonts w:hint="default" w:ascii="Times New Roman" w:hAnsi="Times New Roman" w:eastAsia="方正楷体_GBK" w:cs="Times New Roman"/>
          <w:sz w:val="32"/>
          <w:szCs w:val="32"/>
        </w:rPr>
      </w:pPr>
      <w:bookmarkStart w:id="72" w:name="_Toc24077_WPSOffice_Level3"/>
      <w:r>
        <w:rPr>
          <w:rFonts w:hint="default" w:ascii="Times New Roman" w:hAnsi="Times New Roman" w:eastAsia="方正楷体_GBK" w:cs="Times New Roman"/>
          <w:sz w:val="32"/>
          <w:szCs w:val="32"/>
        </w:rPr>
        <w:t>（一）老城片区</w:t>
      </w:r>
      <w:bookmarkEnd w:id="72"/>
    </w:p>
    <w:p>
      <w:pPr>
        <w:spacing w:line="540" w:lineRule="exact"/>
        <w:ind w:left="140" w:leftChars="50" w:firstLine="480" w:firstLineChars="1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根据《重庆市黔江城区给水工程专项规划》（2013-2020）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“十三五”老城片区供水规划内容为：</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水厂规划：老城区片区由老城区的三元宫和白家湾水厂供水以保证规划期内的</w:t>
      </w:r>
      <w:r>
        <w:rPr>
          <w:rFonts w:hint="default" w:ascii="Times New Roman" w:hAnsi="Times New Roman" w:eastAsia="方正仿宋_GBK" w:cs="Times New Roman"/>
          <w:sz w:val="32"/>
          <w:szCs w:val="32"/>
          <w:lang w:eastAsia="zh-CN"/>
        </w:rPr>
        <w:t>用水</w:t>
      </w:r>
      <w:r>
        <w:rPr>
          <w:rFonts w:hint="default" w:ascii="Times New Roman" w:hAnsi="Times New Roman" w:eastAsia="方正仿宋_GBK" w:cs="Times New Roman"/>
          <w:sz w:val="32"/>
          <w:szCs w:val="32"/>
        </w:rPr>
        <w:t>需水。规划“十三五”期</w:t>
      </w:r>
      <w:r>
        <w:rPr>
          <w:rFonts w:hint="default" w:ascii="Times New Roman" w:hAnsi="Times New Roman" w:eastAsia="方正仿宋_GBK" w:cs="Times New Roman"/>
          <w:color w:val="auto"/>
          <w:sz w:val="32"/>
          <w:szCs w:val="32"/>
          <w:highlight w:val="none"/>
        </w:rPr>
        <w:t>间三元宫水厂扩容新增供水规模2万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以及完成白家湾水厂（3万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/d）的改造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使老城区2020年的供水能力达到8万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输配水管网：规划“十三五”期间将改造老城区老旧供水管网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改造长度45km。主要改造区域：三元宫水厂出厂干管；南沟路给水主干管；解放路给水主干管；319线城区过境路给水主干管；官坝至长征北路给水主干管；新华桥给水主干管。</w:t>
      </w:r>
    </w:p>
    <w:p>
      <w:pPr>
        <w:spacing w:line="560" w:lineRule="exact"/>
        <w:ind w:firstLine="640"/>
        <w:rPr>
          <w:rFonts w:hint="default" w:ascii="Times New Roman" w:hAnsi="Times New Roman" w:eastAsia="方正楷体_GBK" w:cs="Times New Roman"/>
          <w:sz w:val="32"/>
          <w:szCs w:val="32"/>
        </w:rPr>
      </w:pPr>
      <w:bookmarkStart w:id="73" w:name="_Toc5448_WPSOffice_Level3"/>
      <w:r>
        <w:rPr>
          <w:rFonts w:hint="default" w:ascii="Times New Roman" w:hAnsi="Times New Roman" w:eastAsia="方正楷体_GBK" w:cs="Times New Roman"/>
          <w:sz w:val="32"/>
          <w:szCs w:val="32"/>
        </w:rPr>
        <w:t>（二）正阳及冯家片区</w:t>
      </w:r>
      <w:bookmarkEnd w:id="73"/>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根据《重庆市黔江城区给水工程专项规划》（2013-2020）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“十三五”正阳及冯家片区供水规划内容为：</w:t>
      </w:r>
    </w:p>
    <w:p>
      <w:pPr>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正阳片区由老城区三元宫水厂至正阳联网管道输水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输水量为2.0万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/d。“十二五”规划期末</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建成2万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/d的净水厂一座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与老城管网联网输水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解决正阳及冯家片区用水需求。规划“十三五”期间将在正阳水厂内扩建4.0万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/d制水工艺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使正阳水厂的供水能力达到6万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/d；并且新增老城区至正阳输水管一根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输水量1.0万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以满足正阳及冯家片区2020年9.0万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/d的需水量。</w:t>
      </w:r>
    </w:p>
    <w:p>
      <w:pPr>
        <w:spacing w:line="540" w:lineRule="exact"/>
        <w:ind w:firstLine="640"/>
        <w:rPr>
          <w:rFonts w:hint="default" w:ascii="Times New Roman" w:hAnsi="Times New Roman" w:eastAsia="方正楷体_GBK" w:cs="Times New Roman"/>
          <w:sz w:val="32"/>
          <w:szCs w:val="32"/>
        </w:rPr>
      </w:pPr>
      <w:bookmarkStart w:id="74" w:name="_Toc10883_WPSOffice_Level3"/>
      <w:r>
        <w:rPr>
          <w:rFonts w:hint="default" w:ascii="Times New Roman" w:hAnsi="Times New Roman" w:eastAsia="方正楷体_GBK" w:cs="Times New Roman"/>
          <w:sz w:val="32"/>
          <w:szCs w:val="32"/>
        </w:rPr>
        <w:t>（三）青杠片区</w:t>
      </w:r>
      <w:bookmarkEnd w:id="74"/>
    </w:p>
    <w:p>
      <w:pPr>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根据《重庆市黔江城区给水工程专项规划》（2013-2020）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“十三五”青杠片区供水规划内容为：</w:t>
      </w:r>
    </w:p>
    <w:p>
      <w:pPr>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青杠片区“十二五”期内需水量已由老城区三元宫水厂至正阳联网管道输水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从正阳安装联网管道输水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输水量为1.0万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/d；规划“十三五”期间新建净水厂1座</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供园区</w:t>
      </w:r>
      <w:r>
        <w:rPr>
          <w:rFonts w:hint="default" w:ascii="Times New Roman" w:hAnsi="Times New Roman" w:eastAsia="方正仿宋_GBK" w:cs="Times New Roman"/>
          <w:sz w:val="32"/>
          <w:szCs w:val="32"/>
        </w:rPr>
        <w:t>内生活用水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工程建设规模为2万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一次性建成。园区内按规划条件形成一套生活给水系统和一套生产供水管网。</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（四）舟白片区</w:t>
      </w:r>
    </w:p>
    <w:p>
      <w:pPr>
        <w:pStyle w:val="19"/>
        <w:spacing w:line="560" w:lineRule="exact"/>
        <w:ind w:firstLine="640"/>
        <w:rPr>
          <w:rFonts w:hint="default" w:ascii="Times New Roman" w:hAnsi="Times New Roman" w:eastAsia="方正仿宋_GBK" w:cs="Times New Roman"/>
          <w:kern w:val="2"/>
          <w:sz w:val="32"/>
          <w:szCs w:val="32"/>
          <w:lang w:eastAsia="zh-CN" w:bidi="ar-SA"/>
        </w:rPr>
      </w:pPr>
      <w:r>
        <w:rPr>
          <w:rFonts w:hint="default" w:ascii="Times New Roman" w:hAnsi="Times New Roman" w:eastAsia="方正仿宋_GBK" w:cs="Times New Roman"/>
          <w:kern w:val="2"/>
          <w:sz w:val="32"/>
          <w:szCs w:val="32"/>
          <w:lang w:eastAsia="zh-CN" w:bidi="ar-SA"/>
        </w:rPr>
        <w:t>为进一步发展黔江舟白片区的社会经济，改善投资环境，提高居民生活质量，解决周边农村安全饮水需要，实施了黔江区舟白水厂二期工程。根据水量预测及总体规划设想，黔江区舟白水厂二期工程设计规模1.5万</w:t>
      </w:r>
      <w:r>
        <w:rPr>
          <w:rFonts w:hint="default" w:ascii="Times New Roman" w:hAnsi="Times New Roman" w:eastAsia="方正仿宋_GBK" w:cs="Times New Roman"/>
          <w:sz w:val="32"/>
          <w:szCs w:val="32"/>
          <w:highlight w:val="none"/>
          <w:lang w:eastAsia="zh-CN"/>
        </w:rPr>
        <w:t>m</w:t>
      </w:r>
      <w:r>
        <w:rPr>
          <w:rFonts w:hint="default" w:ascii="Times New Roman" w:hAnsi="Times New Roman" w:eastAsia="方正仿宋_GBK" w:cs="Times New Roman"/>
          <w:sz w:val="32"/>
          <w:szCs w:val="32"/>
          <w:highlight w:val="none"/>
          <w:vertAlign w:val="superscript"/>
          <w:lang w:eastAsia="zh-CN"/>
        </w:rPr>
        <w:t>3</w:t>
      </w:r>
      <w:r>
        <w:rPr>
          <w:rFonts w:hint="default" w:ascii="Times New Roman" w:hAnsi="Times New Roman" w:eastAsia="方正仿宋_GBK" w:cs="Times New Roman"/>
          <w:kern w:val="2"/>
          <w:sz w:val="32"/>
          <w:szCs w:val="32"/>
          <w:lang w:eastAsia="zh-CN" w:bidi="ar-SA"/>
        </w:rPr>
        <w:t>/d，目前舟白水厂设计供水规模达2万</w:t>
      </w:r>
      <w:r>
        <w:rPr>
          <w:rFonts w:hint="default" w:ascii="Times New Roman" w:hAnsi="Times New Roman" w:eastAsia="方正仿宋_GBK" w:cs="Times New Roman"/>
          <w:sz w:val="32"/>
          <w:szCs w:val="32"/>
          <w:highlight w:val="none"/>
          <w:lang w:eastAsia="zh-CN"/>
        </w:rPr>
        <w:t>m</w:t>
      </w:r>
      <w:r>
        <w:rPr>
          <w:rFonts w:hint="default" w:ascii="Times New Roman" w:hAnsi="Times New Roman" w:eastAsia="方正仿宋_GBK" w:cs="Times New Roman"/>
          <w:sz w:val="32"/>
          <w:szCs w:val="32"/>
          <w:highlight w:val="none"/>
          <w:vertAlign w:val="superscript"/>
          <w:lang w:eastAsia="zh-CN"/>
        </w:rPr>
        <w:t>3</w:t>
      </w:r>
      <w:r>
        <w:rPr>
          <w:rFonts w:hint="default" w:ascii="Times New Roman" w:hAnsi="Times New Roman" w:eastAsia="方正仿宋_GBK" w:cs="Times New Roman"/>
          <w:kern w:val="2"/>
          <w:sz w:val="32"/>
          <w:szCs w:val="32"/>
          <w:lang w:eastAsia="zh-CN" w:bidi="ar-SA"/>
        </w:rPr>
        <w:t>/d</w:t>
      </w:r>
      <w:r>
        <w:rPr>
          <w:rFonts w:hint="default" w:ascii="Times New Roman" w:hAnsi="Times New Roman" w:eastAsia="方正仿宋_GBK" w:cs="Times New Roman"/>
          <w:color w:val="auto"/>
          <w:kern w:val="2"/>
          <w:sz w:val="32"/>
          <w:szCs w:val="32"/>
          <w:highlight w:val="none"/>
          <w:lang w:eastAsia="zh-CN" w:bidi="ar-SA"/>
        </w:rPr>
        <w:t>，</w:t>
      </w:r>
      <w:r>
        <w:rPr>
          <w:rFonts w:hint="default" w:ascii="Times New Roman" w:hAnsi="Times New Roman" w:eastAsia="方正仿宋_GBK" w:cs="Times New Roman"/>
          <w:kern w:val="2"/>
          <w:sz w:val="32"/>
          <w:szCs w:val="32"/>
          <w:highlight w:val="none"/>
          <w:lang w:eastAsia="zh-CN" w:bidi="ar-SA"/>
        </w:rPr>
        <w:t>解决了黔江区舟白片区城市生活及生产用水，工程实施后，有效解决了舟白片区约1.80万人的饮水安全问题，</w:t>
      </w:r>
      <w:r>
        <w:rPr>
          <w:rFonts w:hint="default" w:ascii="Times New Roman" w:hAnsi="Times New Roman" w:eastAsia="方正仿宋_GBK" w:cs="Times New Roman"/>
          <w:kern w:val="2"/>
          <w:sz w:val="32"/>
          <w:szCs w:val="32"/>
          <w:lang w:eastAsia="zh-CN" w:bidi="ar-SA"/>
        </w:rPr>
        <w:t>对黔江区舟白片区的经济发展起着重要的促进作用。</w:t>
      </w:r>
    </w:p>
    <w:p>
      <w:pPr>
        <w:spacing w:line="560" w:lineRule="exact"/>
        <w:ind w:firstLine="640"/>
        <w:rPr>
          <w:rFonts w:hint="default" w:ascii="Times New Roman" w:hAnsi="Times New Roman" w:eastAsia="方正楷体_GBK" w:cs="Times New Roman"/>
          <w:sz w:val="32"/>
          <w:szCs w:val="32"/>
        </w:rPr>
      </w:pPr>
      <w:bookmarkStart w:id="75" w:name="_Toc16454_WPSOffice_Level3"/>
      <w:r>
        <w:rPr>
          <w:rFonts w:hint="default" w:ascii="Times New Roman" w:hAnsi="Times New Roman" w:eastAsia="方正楷体_GBK" w:cs="Times New Roman"/>
          <w:sz w:val="32"/>
          <w:szCs w:val="32"/>
        </w:rPr>
        <w:t>（五）城周高地供水拓展及城市自来水送水下乡工程</w:t>
      </w:r>
      <w:bookmarkEnd w:id="75"/>
    </w:p>
    <w:p>
      <w:pPr>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《重庆市黔江城区给水工程专项规划》（2013-2020）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为满足城周高地片区用户对水质及水量的要求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规划新建城周高地二次供水系统7套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解决</w:t>
      </w:r>
      <w:r>
        <w:rPr>
          <w:rFonts w:hint="default" w:ascii="Times New Roman" w:hAnsi="Times New Roman" w:eastAsia="方正仿宋_GBK" w:cs="Times New Roman"/>
          <w:sz w:val="32"/>
          <w:szCs w:val="32"/>
          <w:lang w:eastAsia="zh-CN"/>
        </w:rPr>
        <w:t>了</w:t>
      </w:r>
      <w:r>
        <w:rPr>
          <w:rFonts w:hint="default" w:ascii="Times New Roman" w:hAnsi="Times New Roman" w:eastAsia="方正仿宋_GBK" w:cs="Times New Roman"/>
          <w:sz w:val="32"/>
          <w:szCs w:val="32"/>
        </w:rPr>
        <w:t>城南南沟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城西册山、石峡、白家湾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城东城北水库安置区沿</w:t>
      </w:r>
      <w:r>
        <w:rPr>
          <w:rFonts w:hint="default" w:ascii="Times New Roman" w:hAnsi="Times New Roman" w:eastAsia="方正仿宋_GBK" w:cs="Times New Roman"/>
          <w:sz w:val="32"/>
          <w:szCs w:val="32"/>
          <w:highlight w:val="none"/>
        </w:rPr>
        <w:t>线</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正</w:t>
      </w:r>
      <w:r>
        <w:rPr>
          <w:rFonts w:hint="default" w:ascii="Times New Roman" w:hAnsi="Times New Roman" w:eastAsia="方正仿宋_GBK" w:cs="Times New Roman"/>
          <w:sz w:val="32"/>
          <w:szCs w:val="32"/>
        </w:rPr>
        <w:t>阳沱田、雷家营居民集中居住区的城市自来水问题。</w:t>
      </w:r>
    </w:p>
    <w:p>
      <w:pPr>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规划还考虑在水田乡新建0.2万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的二次补氯系统及清水池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并新建供水管网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以满足水田</w:t>
      </w:r>
      <w:r>
        <w:rPr>
          <w:rFonts w:hint="default" w:ascii="Times New Roman" w:hAnsi="Times New Roman" w:eastAsia="方正仿宋_GBK" w:cs="Times New Roman"/>
          <w:sz w:val="32"/>
          <w:szCs w:val="32"/>
          <w:lang w:eastAsia="zh-CN"/>
        </w:rPr>
        <w:t>乡域</w:t>
      </w:r>
      <w:r>
        <w:rPr>
          <w:rFonts w:hint="default" w:ascii="Times New Roman" w:hAnsi="Times New Roman" w:eastAsia="方正仿宋_GBK" w:cs="Times New Roman"/>
          <w:sz w:val="32"/>
          <w:szCs w:val="32"/>
        </w:rPr>
        <w:t>供水水质需要。</w:t>
      </w:r>
    </w:p>
    <w:p>
      <w:pPr>
        <w:spacing w:line="540" w:lineRule="exact"/>
        <w:ind w:firstLine="640"/>
        <w:rPr>
          <w:rFonts w:hint="default" w:ascii="Times New Roman" w:hAnsi="Times New Roman" w:eastAsia="方正楷体_GBK" w:cs="Times New Roman"/>
          <w:sz w:val="32"/>
          <w:szCs w:val="32"/>
        </w:rPr>
      </w:pPr>
      <w:bookmarkStart w:id="76" w:name="_Toc9525_WPSOffice_Level3"/>
      <w:r>
        <w:rPr>
          <w:rFonts w:hint="default" w:ascii="Times New Roman" w:hAnsi="Times New Roman" w:eastAsia="方正楷体_GBK" w:cs="Times New Roman"/>
          <w:sz w:val="32"/>
          <w:szCs w:val="32"/>
        </w:rPr>
        <w:t>（六）城区居民用水“一户一表”改造</w:t>
      </w:r>
      <w:bookmarkEnd w:id="76"/>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《重庆市黔江城区给水工程专项规划》（2013-2020）规划实施城区居民用水“一户一表”改造。规划坚持“政府主导、企业主体、用户自愿”的原则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按照“统一标准、规范施工、分步实施”的要求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以小区为单元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先易后难、分批实施城市居民用水“一户一表”改造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力争用4年时间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全面完成辖区4.53万户城市居民用水“一户一表”改造任务。</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77" w:name="_Toc1389"/>
      <w:bookmarkStart w:id="78" w:name="_Toc59975676"/>
      <w:bookmarkStart w:id="79" w:name="_Toc22944"/>
      <w:r>
        <w:rPr>
          <w:rFonts w:hint="default" w:ascii="Times New Roman" w:hAnsi="Times New Roman" w:eastAsia="方正黑体_GBK" w:cs="Times New Roman"/>
          <w:b w:val="0"/>
          <w:bCs/>
          <w:kern w:val="2"/>
          <w:sz w:val="32"/>
          <w:szCs w:val="32"/>
        </w:rPr>
        <w:t>二、水厂项目完成情况</w:t>
      </w:r>
      <w:bookmarkEnd w:id="77"/>
      <w:bookmarkEnd w:id="78"/>
      <w:bookmarkEnd w:id="79"/>
    </w:p>
    <w:p>
      <w:pPr>
        <w:pStyle w:val="18"/>
        <w:spacing w:line="540" w:lineRule="exact"/>
        <w:ind w:firstLine="640"/>
        <w:rPr>
          <w:rFonts w:hint="default" w:ascii="Times New Roman" w:hAnsi="Times New Roman" w:eastAsia="方正仿宋_GBK" w:cs="Times New Roman"/>
          <w:sz w:val="32"/>
          <w:szCs w:val="32"/>
        </w:rPr>
      </w:pPr>
      <w:bookmarkStart w:id="80" w:name="_Toc30500"/>
      <w:bookmarkStart w:id="81" w:name="_Toc60429872"/>
      <w:bookmarkStart w:id="82" w:name="_Toc59975677"/>
      <w:r>
        <w:rPr>
          <w:rFonts w:hint="default" w:ascii="Times New Roman" w:hAnsi="Times New Roman" w:eastAsia="方正仿宋_GBK" w:cs="Times New Roman"/>
          <w:sz w:val="32"/>
          <w:szCs w:val="32"/>
        </w:rPr>
        <w:t>至规划基准年</w:t>
      </w:r>
      <w:r>
        <w:rPr>
          <w:rFonts w:hint="default" w:ascii="Times New Roman" w:hAnsi="Times New Roman" w:eastAsia="方正仿宋_GBK" w:cs="Times New Roman"/>
          <w:sz w:val="32"/>
          <w:szCs w:val="32"/>
          <w:lang w:eastAsia="zh-CN"/>
        </w:rPr>
        <w:t>，城市供水</w:t>
      </w:r>
      <w:r>
        <w:rPr>
          <w:rFonts w:hint="default" w:ascii="Times New Roman" w:hAnsi="Times New Roman" w:eastAsia="方正仿宋_GBK" w:cs="Times New Roman"/>
          <w:sz w:val="32"/>
          <w:szCs w:val="32"/>
          <w:highlight w:val="none"/>
        </w:rPr>
        <w:t>供区依然以白家湾水厂3.0万m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highlight w:val="none"/>
        </w:rPr>
        <w:t>/d和三元宫水厂3.0万m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highlight w:val="none"/>
        </w:rPr>
        <w:t>/d联合制水的供水格局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正阳水厂一期制水规模2.0万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/d、舟白水厂二期制水规模2.0万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/d于规划基准年建成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“十三五”期间水厂规划项目实际只建成正阳水厂一期2.0万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/d工艺与舟白水厂2.0万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w:t>
      </w:r>
      <w:r>
        <w:rPr>
          <w:rFonts w:hint="default" w:ascii="Times New Roman" w:hAnsi="Times New Roman" w:eastAsia="方正仿宋_GBK" w:cs="Times New Roman"/>
          <w:sz w:val="32"/>
          <w:szCs w:val="32"/>
          <w:highlight w:val="none"/>
          <w:lang w:eastAsia="zh-CN"/>
        </w:rPr>
        <w:t>其他</w:t>
      </w:r>
      <w:r>
        <w:rPr>
          <w:rFonts w:hint="default" w:ascii="Times New Roman" w:hAnsi="Times New Roman" w:eastAsia="方正仿宋_GBK" w:cs="Times New Roman"/>
          <w:sz w:val="32"/>
          <w:szCs w:val="32"/>
        </w:rPr>
        <w:t>水厂项目均未实施。</w:t>
      </w:r>
      <w:bookmarkEnd w:id="80"/>
      <w:bookmarkEnd w:id="81"/>
      <w:bookmarkEnd w:id="82"/>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83" w:name="_Toc3643"/>
      <w:bookmarkStart w:id="84" w:name="_Toc10265"/>
      <w:bookmarkStart w:id="85" w:name="_Toc59975678"/>
      <w:r>
        <w:rPr>
          <w:rFonts w:hint="default" w:ascii="Times New Roman" w:hAnsi="Times New Roman" w:eastAsia="方正黑体_GBK" w:cs="Times New Roman"/>
          <w:b w:val="0"/>
          <w:bCs/>
          <w:kern w:val="2"/>
          <w:sz w:val="32"/>
          <w:szCs w:val="32"/>
        </w:rPr>
        <w:t>三、管网项目完成情况</w:t>
      </w:r>
      <w:bookmarkEnd w:id="83"/>
      <w:bookmarkEnd w:id="84"/>
      <w:bookmarkEnd w:id="85"/>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（一）老城片区</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“十三五”管网项目规划老城片区计划以争取国市补助资金实施城区二期管网改造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改造淘汰落后管材约45km。但由于国市补助项目资金</w:t>
      </w:r>
      <w:r>
        <w:rPr>
          <w:rFonts w:hint="default" w:ascii="Times New Roman" w:hAnsi="Times New Roman" w:eastAsia="方正仿宋_GBK" w:cs="Times New Roman"/>
          <w:sz w:val="32"/>
          <w:szCs w:val="32"/>
          <w:lang w:eastAsia="zh-CN"/>
        </w:rPr>
        <w:t>未</w:t>
      </w:r>
      <w:r>
        <w:rPr>
          <w:rFonts w:hint="default" w:ascii="Times New Roman" w:hAnsi="Times New Roman" w:eastAsia="方正仿宋_GBK" w:cs="Times New Roman"/>
          <w:sz w:val="32"/>
          <w:szCs w:val="32"/>
        </w:rPr>
        <w:t>落实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企业自身经营资金有限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城区二期管网改造未能按规划实施。“十三五”期间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老城片区老旧管网依赖企业经营资金积累和多方筹资实施了部分居民区支管改造和管网建设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其中：完成河滨东路北段</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何家榜片区供水管改造；完成城西迎宾大道供水管</w:t>
      </w:r>
      <w:r>
        <w:rPr>
          <w:rFonts w:hint="default" w:ascii="Times New Roman" w:hAnsi="Times New Roman" w:eastAsia="方正仿宋_GBK" w:cs="Times New Roman"/>
          <w:sz w:val="32"/>
          <w:szCs w:val="32"/>
          <w:lang w:eastAsia="zh-CN"/>
        </w:rPr>
        <w:t>网新建，</w:t>
      </w:r>
      <w:r>
        <w:rPr>
          <w:rFonts w:hint="default" w:ascii="Times New Roman" w:hAnsi="Times New Roman" w:eastAsia="方正仿宋_GBK" w:cs="Times New Roman"/>
          <w:sz w:val="32"/>
          <w:szCs w:val="32"/>
        </w:rPr>
        <w:t>城市供水向西拓展1km</w:t>
      </w:r>
      <w:r>
        <w:rPr>
          <w:rFonts w:hint="default" w:ascii="Times New Roman" w:hAnsi="Times New Roman" w:eastAsia="方正仿宋_GBK" w:cs="Times New Roman"/>
          <w:sz w:val="32"/>
          <w:szCs w:val="32"/>
          <w:vertAlign w:val="superscript"/>
        </w:rPr>
        <w:t>2</w:t>
      </w:r>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（二）正阳片区</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“十三五”管网项目规划正阳片区实施情况以补充和完善正阳新城骨干环状网络为主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建成桐坪路供水管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阿蓬江路供水管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香山寺路供水管等联网管道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正阳新城供水环网基本形成；同时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highlight w:val="none"/>
        </w:rPr>
        <w:t>针对首批非金属管使用年限久</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老化加剧</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正阳供水压力大</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频繁爆管等</w:t>
      </w:r>
      <w:r>
        <w:rPr>
          <w:rFonts w:hint="default" w:ascii="Times New Roman" w:hAnsi="Times New Roman" w:eastAsia="方正仿宋_GBK" w:cs="Times New Roman"/>
          <w:sz w:val="32"/>
          <w:szCs w:val="32"/>
          <w:highlight w:val="none"/>
          <w:lang w:eastAsia="zh-CN"/>
        </w:rPr>
        <w:t>问题，</w:t>
      </w:r>
      <w:r>
        <w:rPr>
          <w:rFonts w:hint="default" w:ascii="Times New Roman" w:hAnsi="Times New Roman" w:eastAsia="方正仿宋_GBK" w:cs="Times New Roman"/>
          <w:sz w:val="32"/>
          <w:szCs w:val="32"/>
          <w:highlight w:val="none"/>
        </w:rPr>
        <w:t>更</w:t>
      </w:r>
      <w:r>
        <w:rPr>
          <w:rFonts w:hint="default" w:ascii="Times New Roman" w:hAnsi="Times New Roman" w:eastAsia="方正仿宋_GBK" w:cs="Times New Roman"/>
          <w:sz w:val="32"/>
          <w:szCs w:val="32"/>
        </w:rPr>
        <w:t>新</w:t>
      </w:r>
      <w:r>
        <w:rPr>
          <w:rFonts w:hint="default" w:ascii="Times New Roman" w:hAnsi="Times New Roman" w:eastAsia="方正仿宋_GBK" w:cs="Times New Roman"/>
          <w:sz w:val="32"/>
          <w:szCs w:val="32"/>
          <w:highlight w:val="none"/>
        </w:rPr>
        <w:t>改造黔阳小区段管</w:t>
      </w:r>
      <w:r>
        <w:rPr>
          <w:rFonts w:hint="default" w:ascii="Times New Roman" w:hAnsi="Times New Roman" w:eastAsia="方正仿宋_GBK" w:cs="Times New Roman"/>
          <w:sz w:val="32"/>
          <w:szCs w:val="32"/>
          <w:lang w:eastAsia="zh-CN"/>
        </w:rPr>
        <w:t>网</w:t>
      </w:r>
      <w:r>
        <w:rPr>
          <w:rFonts w:hint="default" w:ascii="Times New Roman" w:hAnsi="Times New Roman" w:eastAsia="方正仿宋_GBK" w:cs="Times New Roman"/>
          <w:sz w:val="32"/>
          <w:szCs w:val="32"/>
        </w:rPr>
        <w:t>。</w:t>
      </w:r>
    </w:p>
    <w:p>
      <w:pPr>
        <w:spacing w:line="54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（三）冯家片区</w:t>
      </w:r>
    </w:p>
    <w:p>
      <w:pPr>
        <w:pStyle w:val="18"/>
        <w:spacing w:line="54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“十三五”管网项目规划冯家片区实施情况以改造和延伸城郊管网为重点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通过多渠道争取资金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延伸冯家桥南供水管1800m；借黔永大道道路拓宽同步实施淘汰落后管材的供水干管改造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改造黔永大道供水管2600m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确保冯家片区供水安全</w:t>
      </w:r>
      <w:r>
        <w:rPr>
          <w:rFonts w:hint="default" w:ascii="Times New Roman" w:hAnsi="Times New Roman" w:eastAsia="方正仿宋_GBK" w:cs="Times New Roman"/>
          <w:sz w:val="32"/>
          <w:szCs w:val="32"/>
          <w:lang w:eastAsia="zh-CN"/>
        </w:rPr>
        <w:t>，持续</w:t>
      </w:r>
      <w:r>
        <w:rPr>
          <w:rFonts w:hint="default" w:ascii="Times New Roman" w:hAnsi="Times New Roman" w:eastAsia="方正仿宋_GBK" w:cs="Times New Roman"/>
          <w:sz w:val="32"/>
          <w:szCs w:val="32"/>
        </w:rPr>
        <w:t>拓展供水市场。</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（四）青杠片区</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“十三五”项目规划青杠片区实施情况主要以解决</w:t>
      </w:r>
      <w:r>
        <w:rPr>
          <w:rFonts w:hint="default" w:ascii="Times New Roman" w:hAnsi="Times New Roman" w:eastAsia="方正仿宋_GBK" w:cs="Times New Roman"/>
          <w:sz w:val="32"/>
          <w:szCs w:val="32"/>
          <w:highlight w:val="none"/>
        </w:rPr>
        <w:t>城郊结合部</w:t>
      </w:r>
      <w:r>
        <w:rPr>
          <w:rFonts w:hint="default" w:ascii="Times New Roman" w:hAnsi="Times New Roman" w:eastAsia="方正仿宋_GBK" w:cs="Times New Roman"/>
          <w:sz w:val="32"/>
          <w:szCs w:val="32"/>
        </w:rPr>
        <w:t>的居民饮用水为目标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主要建成香水、林角民委居民饮用水管道安装25000m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拓展</w:t>
      </w:r>
      <w:r>
        <w:rPr>
          <w:rFonts w:hint="default" w:ascii="Times New Roman" w:hAnsi="Times New Roman" w:eastAsia="方正仿宋_GBK" w:cs="Times New Roman"/>
          <w:color w:val="auto"/>
          <w:sz w:val="32"/>
          <w:szCs w:val="32"/>
          <w:highlight w:val="none"/>
          <w:lang w:eastAsia="zh-CN"/>
        </w:rPr>
        <w:t>供水</w:t>
      </w:r>
      <w:r>
        <w:rPr>
          <w:rFonts w:hint="default" w:ascii="Times New Roman" w:hAnsi="Times New Roman" w:eastAsia="方正仿宋_GBK" w:cs="Times New Roman"/>
          <w:color w:val="auto"/>
          <w:sz w:val="32"/>
          <w:szCs w:val="32"/>
          <w:highlight w:val="none"/>
        </w:rPr>
        <w:t>人</w:t>
      </w:r>
      <w:r>
        <w:rPr>
          <w:rFonts w:hint="default" w:ascii="Times New Roman" w:hAnsi="Times New Roman" w:eastAsia="方正仿宋_GBK" w:cs="Times New Roman"/>
          <w:sz w:val="32"/>
          <w:szCs w:val="32"/>
        </w:rPr>
        <w:t>口1000余户。</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（五）舟白片区</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舟白片区内输配水管网总长约5212 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主管管径为DN400和DN315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输配水管网管材均为HDPE管。</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舟白水厂二期工程在小南海水库输水南干渠一期工程取水室安装取水管</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rPr>
        <w:t>中心线高程为638.8m</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并安装手动蝶阀作为控制和</w:t>
      </w:r>
      <w:r>
        <w:rPr>
          <w:rFonts w:hint="default" w:ascii="Times New Roman" w:hAnsi="Times New Roman" w:eastAsia="方正仿宋_GBK" w:cs="Times New Roman"/>
          <w:sz w:val="32"/>
          <w:szCs w:val="32"/>
          <w:highlight w:val="none"/>
        </w:rPr>
        <w:t>流量调节阀</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阀</w:t>
      </w:r>
      <w:r>
        <w:rPr>
          <w:rFonts w:hint="default" w:ascii="Times New Roman" w:hAnsi="Times New Roman" w:eastAsia="方正仿宋_GBK" w:cs="Times New Roman"/>
          <w:sz w:val="32"/>
          <w:szCs w:val="32"/>
        </w:rPr>
        <w:t>后安装铺设给水管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重力输水至净化厂内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与一期铺设的管道并联供水。</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（六）</w:t>
      </w:r>
      <w:r>
        <w:rPr>
          <w:rFonts w:hint="default" w:ascii="Times New Roman" w:hAnsi="Times New Roman" w:eastAsia="方正楷体_GBK" w:cs="Times New Roman"/>
          <w:sz w:val="32"/>
          <w:szCs w:val="32"/>
          <w:highlight w:val="none"/>
          <w:lang w:eastAsia="zh-CN"/>
        </w:rPr>
        <w:t>其他</w:t>
      </w:r>
      <w:r>
        <w:rPr>
          <w:rFonts w:hint="default" w:ascii="Times New Roman" w:hAnsi="Times New Roman" w:eastAsia="方正楷体_GBK" w:cs="Times New Roman"/>
          <w:sz w:val="32"/>
          <w:szCs w:val="32"/>
        </w:rPr>
        <w:t>项目</w:t>
      </w:r>
    </w:p>
    <w:p>
      <w:pPr>
        <w:pStyle w:val="18"/>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1.城周高地供水拓展及自来水送水下乡工程</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“十三五”期间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城周高地供水市场拓展项目持续推进。</w:t>
      </w:r>
      <w:r>
        <w:rPr>
          <w:rFonts w:hint="default" w:ascii="Times New Roman" w:hAnsi="Times New Roman" w:eastAsia="方正仿宋_GBK" w:cs="Times New Roman"/>
          <w:color w:val="auto"/>
          <w:sz w:val="32"/>
          <w:szCs w:val="32"/>
          <w:highlight w:val="none"/>
          <w:lang w:eastAsia="zh-CN"/>
        </w:rPr>
        <w:t>除</w:t>
      </w:r>
      <w:r>
        <w:rPr>
          <w:rFonts w:hint="default" w:ascii="Times New Roman" w:hAnsi="Times New Roman" w:eastAsia="方正仿宋_GBK" w:cs="Times New Roman"/>
          <w:color w:val="auto"/>
          <w:sz w:val="32"/>
          <w:szCs w:val="32"/>
          <w:highlight w:val="none"/>
        </w:rPr>
        <w:t>已</w:t>
      </w:r>
      <w:r>
        <w:rPr>
          <w:rFonts w:hint="default" w:ascii="Times New Roman" w:hAnsi="Times New Roman" w:eastAsia="方正仿宋_GBK" w:cs="Times New Roman"/>
          <w:sz w:val="32"/>
          <w:szCs w:val="32"/>
        </w:rPr>
        <w:t>建成的谭家湾、跑马山</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桃子坝城周高地加压泵站外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新建环山路、黑山、迎宾大道、正阳山四个片区城周高地加压泵站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解决和拓展</w:t>
      </w:r>
      <w:r>
        <w:rPr>
          <w:rFonts w:hint="default" w:ascii="Times New Roman" w:hAnsi="Times New Roman" w:eastAsia="方正仿宋_GBK" w:cs="Times New Roman"/>
          <w:sz w:val="32"/>
          <w:szCs w:val="32"/>
          <w:lang w:eastAsia="zh-CN"/>
        </w:rPr>
        <w:t>了</w:t>
      </w:r>
      <w:r>
        <w:rPr>
          <w:rFonts w:hint="default" w:ascii="Times New Roman" w:hAnsi="Times New Roman" w:eastAsia="方正仿宋_GBK" w:cs="Times New Roman"/>
          <w:sz w:val="32"/>
          <w:szCs w:val="32"/>
        </w:rPr>
        <w:t>城周高地约2万余人饮水问题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城区供水普及率大幅提升。</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自来水送水下乡工程取得新突破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建成老城片区城西迎宾大道供水管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供水市场向西拓展1km</w:t>
      </w:r>
      <w:r>
        <w:rPr>
          <w:rFonts w:hint="default" w:ascii="Times New Roman" w:hAnsi="Times New Roman" w:eastAsia="方正仿宋_GBK" w:cs="Times New Roman"/>
          <w:sz w:val="32"/>
          <w:szCs w:val="32"/>
          <w:vertAlign w:val="superscript"/>
        </w:rPr>
        <w:t>2</w:t>
      </w:r>
      <w:r>
        <w:rPr>
          <w:rFonts w:hint="default" w:ascii="Times New Roman" w:hAnsi="Times New Roman" w:eastAsia="方正仿宋_GBK" w:cs="Times New Roman"/>
          <w:sz w:val="32"/>
          <w:szCs w:val="32"/>
          <w:lang w:eastAsia="zh-CN"/>
        </w:rPr>
        <w:t>，建成</w:t>
      </w:r>
      <w:r>
        <w:rPr>
          <w:rFonts w:hint="default" w:ascii="Times New Roman" w:hAnsi="Times New Roman" w:eastAsia="方正仿宋_GBK" w:cs="Times New Roman"/>
          <w:sz w:val="32"/>
          <w:szCs w:val="32"/>
        </w:rPr>
        <w:t>冯家中坝供水管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供水市场向南拓展1 km</w:t>
      </w:r>
      <w:r>
        <w:rPr>
          <w:rFonts w:hint="default" w:ascii="Times New Roman" w:hAnsi="Times New Roman" w:eastAsia="方正仿宋_GBK" w:cs="Times New Roman"/>
          <w:sz w:val="32"/>
          <w:szCs w:val="32"/>
          <w:vertAlign w:val="superscript"/>
        </w:rPr>
        <w:t>2</w:t>
      </w:r>
      <w:r>
        <w:rPr>
          <w:rFonts w:hint="default" w:ascii="Times New Roman" w:hAnsi="Times New Roman" w:eastAsia="方正仿宋_GBK" w:cs="Times New Roman"/>
          <w:sz w:val="32"/>
          <w:szCs w:val="32"/>
        </w:rPr>
        <w:t>；延伸城南香水、林角</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正阳积富居委自来水管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“十三五”</w:t>
      </w:r>
      <w:r>
        <w:rPr>
          <w:rFonts w:hint="default" w:ascii="Times New Roman" w:hAnsi="Times New Roman" w:eastAsia="方正仿宋_GBK" w:cs="Times New Roman"/>
          <w:sz w:val="32"/>
          <w:szCs w:val="32"/>
          <w:lang w:eastAsia="zh-CN"/>
        </w:rPr>
        <w:t>期间</w:t>
      </w:r>
      <w:r>
        <w:rPr>
          <w:rFonts w:hint="default" w:ascii="Times New Roman" w:hAnsi="Times New Roman" w:eastAsia="方正仿宋_GBK" w:cs="Times New Roman"/>
          <w:sz w:val="32"/>
          <w:szCs w:val="32"/>
        </w:rPr>
        <w:t>实施的自来水送水下乡工程解决</w:t>
      </w:r>
      <w:r>
        <w:rPr>
          <w:rFonts w:hint="default" w:ascii="Times New Roman" w:hAnsi="Times New Roman" w:eastAsia="方正仿宋_GBK" w:cs="Times New Roman"/>
          <w:sz w:val="32"/>
          <w:szCs w:val="32"/>
          <w:highlight w:val="none"/>
        </w:rPr>
        <w:t>城郊结合部</w:t>
      </w:r>
      <w:r>
        <w:rPr>
          <w:rFonts w:hint="default" w:ascii="Times New Roman" w:hAnsi="Times New Roman" w:eastAsia="方正仿宋_GBK" w:cs="Times New Roman"/>
          <w:sz w:val="32"/>
          <w:szCs w:val="32"/>
        </w:rPr>
        <w:t>5000余人生活用水。</w:t>
      </w:r>
    </w:p>
    <w:p>
      <w:pPr>
        <w:pStyle w:val="18"/>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2.城区居民用水“一户一表”改造</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城区居民用水“一户一表”改造工作基本结束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至规划基准年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合计完成城区有改造意愿的老旧小区居民用水“一户一表”改造25880户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改造并接</w:t>
      </w:r>
      <w:r>
        <w:rPr>
          <w:rFonts w:hint="default" w:ascii="Times New Roman" w:hAnsi="Times New Roman" w:eastAsia="方正仿宋_GBK" w:cs="Times New Roman"/>
          <w:sz w:val="32"/>
          <w:szCs w:val="32"/>
          <w:highlight w:val="none"/>
        </w:rPr>
        <w:t>收住宅二</w:t>
      </w:r>
      <w:r>
        <w:rPr>
          <w:rFonts w:hint="default" w:ascii="Times New Roman" w:hAnsi="Times New Roman" w:eastAsia="方正仿宋_GBK" w:cs="Times New Roman"/>
          <w:sz w:val="32"/>
          <w:szCs w:val="32"/>
          <w:highlight w:val="none"/>
          <w:lang w:eastAsia="zh-CN"/>
        </w:rPr>
        <w:t>次</w:t>
      </w:r>
      <w:r>
        <w:rPr>
          <w:rFonts w:hint="default" w:ascii="Times New Roman" w:hAnsi="Times New Roman" w:eastAsia="方正仿宋_GBK" w:cs="Times New Roman"/>
          <w:sz w:val="32"/>
          <w:szCs w:val="32"/>
          <w:highlight w:val="none"/>
        </w:rPr>
        <w:t>加压供水系统25</w:t>
      </w:r>
      <w:r>
        <w:rPr>
          <w:rFonts w:hint="default" w:ascii="Times New Roman" w:hAnsi="Times New Roman" w:eastAsia="方正仿宋_GBK" w:cs="Times New Roman"/>
          <w:sz w:val="32"/>
          <w:szCs w:val="32"/>
        </w:rPr>
        <w:t>套。全部顺利实现移交管理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抄表到户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抄表到户率提高到60%。</w:t>
      </w:r>
    </w:p>
    <w:p>
      <w:pPr>
        <w:pStyle w:val="18"/>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3.城市供水远程调度及监控ＳＣＡＤＡ系统建设</w:t>
      </w:r>
    </w:p>
    <w:p>
      <w:pPr>
        <w:pStyle w:val="18"/>
        <w:spacing w:line="560" w:lineRule="exact"/>
        <w:ind w:firstLine="640"/>
        <w:rPr>
          <w:rFonts w:hint="default" w:ascii="Times New Roman" w:hAnsi="Times New Roman" w:eastAsia="方正仿宋_GBK" w:cs="Times New Roman"/>
          <w:sz w:val="32"/>
          <w:szCs w:val="32"/>
        </w:rPr>
      </w:pPr>
      <w:bookmarkStart w:id="86" w:name="_Toc59975679"/>
      <w:bookmarkStart w:id="87" w:name="_Toc8572"/>
      <w:bookmarkStart w:id="88" w:name="_Toc60429874"/>
      <w:r>
        <w:rPr>
          <w:rFonts w:hint="default" w:ascii="Times New Roman" w:hAnsi="Times New Roman" w:eastAsia="方正仿宋_GBK" w:cs="Times New Roman"/>
          <w:sz w:val="32"/>
          <w:szCs w:val="32"/>
        </w:rPr>
        <w:t>“十三五”期间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建成城市供水ＳＣＡＤＡ调度系统及远程监控系统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建成调度供水中控大厅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安装管网测控终端15个</w:t>
      </w:r>
      <w:r>
        <w:rPr>
          <w:rFonts w:hint="default" w:ascii="Times New Roman" w:hAnsi="Times New Roman" w:eastAsia="方正仿宋_GBK" w:cs="Times New Roman"/>
          <w:sz w:val="32"/>
          <w:szCs w:val="32"/>
          <w:lang w:eastAsia="zh-CN"/>
        </w:rPr>
        <w:t>、新建</w:t>
      </w:r>
      <w:r>
        <w:rPr>
          <w:rFonts w:hint="default" w:ascii="Times New Roman" w:hAnsi="Times New Roman" w:eastAsia="方正仿宋_GBK" w:cs="Times New Roman"/>
          <w:sz w:val="32"/>
          <w:szCs w:val="32"/>
        </w:rPr>
        <w:t>加压泵站测控站6个</w:t>
      </w:r>
      <w:r>
        <w:rPr>
          <w:rFonts w:hint="default" w:ascii="Times New Roman" w:hAnsi="Times New Roman" w:eastAsia="方正仿宋_GBK" w:cs="Times New Roman"/>
          <w:sz w:val="32"/>
          <w:szCs w:val="32"/>
          <w:lang w:eastAsia="zh-CN"/>
        </w:rPr>
        <w:t>、新建</w:t>
      </w:r>
      <w:r>
        <w:rPr>
          <w:rFonts w:hint="default" w:ascii="Times New Roman" w:hAnsi="Times New Roman" w:eastAsia="方正仿宋_GBK" w:cs="Times New Roman"/>
          <w:sz w:val="32"/>
          <w:szCs w:val="32"/>
        </w:rPr>
        <w:t>水厂测控站2个</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初步搭建智慧水务子系统。</w:t>
      </w:r>
      <w:bookmarkEnd w:id="86"/>
      <w:bookmarkEnd w:id="87"/>
      <w:bookmarkEnd w:id="88"/>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89" w:name="_Toc10197"/>
      <w:bookmarkStart w:id="90" w:name="_Toc9337"/>
      <w:bookmarkStart w:id="91" w:name="_Toc59975680"/>
      <w:r>
        <w:rPr>
          <w:rFonts w:hint="default" w:ascii="Times New Roman" w:hAnsi="Times New Roman" w:eastAsia="方正黑体_GBK" w:cs="Times New Roman"/>
          <w:b w:val="0"/>
          <w:bCs/>
          <w:kern w:val="2"/>
          <w:sz w:val="32"/>
          <w:szCs w:val="32"/>
        </w:rPr>
        <w:t>四、主要供水规划指标完成情况</w:t>
      </w:r>
      <w:bookmarkEnd w:id="89"/>
      <w:bookmarkEnd w:id="90"/>
      <w:bookmarkEnd w:id="91"/>
    </w:p>
    <w:p>
      <w:pPr>
        <w:pStyle w:val="18"/>
        <w:spacing w:line="560" w:lineRule="exact"/>
        <w:ind w:firstLine="640"/>
        <w:rPr>
          <w:rFonts w:hint="default" w:ascii="Times New Roman" w:hAnsi="Times New Roman" w:eastAsia="方正仿宋_GBK" w:cs="Times New Roman"/>
          <w:sz w:val="32"/>
          <w:szCs w:val="32"/>
        </w:rPr>
      </w:pPr>
      <w:bookmarkStart w:id="92" w:name="_Toc59975681"/>
      <w:r>
        <w:rPr>
          <w:rFonts w:hint="default" w:ascii="Times New Roman" w:hAnsi="Times New Roman" w:eastAsia="方正仿宋_GBK" w:cs="Times New Roman"/>
          <w:sz w:val="32"/>
          <w:szCs w:val="32"/>
        </w:rPr>
        <w:t>《重庆市黔江城区给水工程专项规划》（2013-2020）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规划区内（2020年）需水量16.0万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但实际发展情况较前期规划差距较大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2019年现状需水量仅7.18万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。“十三五”期间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虽然城市发展放缓</w:t>
      </w:r>
      <w:r>
        <w:rPr>
          <w:rFonts w:hint="default" w:ascii="Times New Roman" w:hAnsi="Times New Roman" w:eastAsia="方正仿宋_GBK" w:cs="Times New Roman"/>
          <w:sz w:val="32"/>
          <w:szCs w:val="32"/>
          <w:lang w:eastAsia="zh-CN"/>
        </w:rPr>
        <w:t>，宏观</w:t>
      </w:r>
      <w:r>
        <w:rPr>
          <w:rFonts w:hint="default" w:ascii="Times New Roman" w:hAnsi="Times New Roman" w:eastAsia="方正仿宋_GBK" w:cs="Times New Roman"/>
          <w:sz w:val="32"/>
          <w:szCs w:val="32"/>
        </w:rPr>
        <w:t>经济下行</w:t>
      </w:r>
      <w:r>
        <w:rPr>
          <w:rFonts w:hint="default" w:ascii="Times New Roman" w:hAnsi="Times New Roman" w:eastAsia="方正仿宋_GBK" w:cs="Times New Roman"/>
          <w:color w:val="auto"/>
          <w:sz w:val="32"/>
          <w:szCs w:val="32"/>
          <w:lang w:eastAsia="zh-CN"/>
        </w:rPr>
        <w:t>，但</w:t>
      </w:r>
      <w:r>
        <w:rPr>
          <w:rFonts w:hint="default" w:ascii="Times New Roman" w:hAnsi="Times New Roman" w:eastAsia="方正仿宋_GBK" w:cs="Times New Roman"/>
          <w:color w:val="auto"/>
          <w:sz w:val="32"/>
          <w:szCs w:val="32"/>
        </w:rPr>
        <w:t>从20</w:t>
      </w:r>
      <w:r>
        <w:rPr>
          <w:rFonts w:hint="default" w:ascii="Times New Roman" w:hAnsi="Times New Roman" w:eastAsia="方正仿宋_GBK" w:cs="Times New Roman"/>
          <w:sz w:val="32"/>
          <w:szCs w:val="32"/>
        </w:rPr>
        <w:t>16年以来供水数据分析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城区供水量</w:t>
      </w:r>
      <w:r>
        <w:rPr>
          <w:rFonts w:hint="default" w:ascii="Times New Roman" w:hAnsi="Times New Roman" w:eastAsia="方正仿宋_GBK" w:cs="Times New Roman"/>
          <w:sz w:val="32"/>
          <w:szCs w:val="32"/>
          <w:lang w:eastAsia="zh-CN"/>
        </w:rPr>
        <w:t>仍</w:t>
      </w:r>
      <w:r>
        <w:rPr>
          <w:rFonts w:hint="default" w:ascii="Times New Roman" w:hAnsi="Times New Roman" w:eastAsia="方正仿宋_GBK" w:cs="Times New Roman"/>
          <w:sz w:val="32"/>
          <w:szCs w:val="32"/>
        </w:rPr>
        <w:t>以4%-7%增长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主要水量情况：</w:t>
      </w: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 2016~2019年实际供水量增长率</w:t>
      </w:r>
    </w:p>
    <w:tbl>
      <w:tblPr>
        <w:tblStyle w:val="12"/>
        <w:tblW w:w="8875" w:type="dxa"/>
        <w:tblInd w:w="0" w:type="dxa"/>
        <w:tblLayout w:type="fixed"/>
        <w:tblCellMar>
          <w:top w:w="0" w:type="dxa"/>
          <w:left w:w="0" w:type="dxa"/>
          <w:bottom w:w="0" w:type="dxa"/>
          <w:right w:w="0" w:type="dxa"/>
        </w:tblCellMar>
      </w:tblPr>
      <w:tblGrid>
        <w:gridCol w:w="866"/>
        <w:gridCol w:w="1860"/>
        <w:gridCol w:w="2636"/>
        <w:gridCol w:w="3513"/>
      </w:tblGrid>
      <w:tr>
        <w:tblPrEx>
          <w:tblCellMar>
            <w:top w:w="0" w:type="dxa"/>
            <w:left w:w="0" w:type="dxa"/>
            <w:bottom w:w="0" w:type="dxa"/>
            <w:right w:w="0" w:type="dxa"/>
          </w:tblCellMar>
        </w:tblPrEx>
        <w:trPr>
          <w:trHeight w:val="828" w:hRule="atLeast"/>
        </w:trPr>
        <w:tc>
          <w:tcPr>
            <w:tcW w:w="86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年份</w:t>
            </w:r>
          </w:p>
        </w:tc>
        <w:tc>
          <w:tcPr>
            <w:tcW w:w="1860"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年供水总量</w:t>
            </w:r>
          </w:p>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（万</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r>
              <w:rPr>
                <w:rFonts w:hint="default" w:ascii="Times New Roman" w:hAnsi="Times New Roman" w:eastAsia="方正仿宋_GBK" w:cs="Times New Roman"/>
                <w:szCs w:val="28"/>
              </w:rPr>
              <w:t>）</w:t>
            </w:r>
          </w:p>
        </w:tc>
        <w:tc>
          <w:tcPr>
            <w:tcW w:w="2636"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平均日供水量</w:t>
            </w:r>
          </w:p>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（万</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r>
              <w:rPr>
                <w:rFonts w:hint="default" w:ascii="Times New Roman" w:hAnsi="Times New Roman" w:eastAsia="方正仿宋_GBK" w:cs="Times New Roman"/>
                <w:szCs w:val="28"/>
              </w:rPr>
              <w:t>）</w:t>
            </w:r>
          </w:p>
        </w:tc>
        <w:tc>
          <w:tcPr>
            <w:tcW w:w="3513"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平均日供水量同比增长率</w:t>
            </w:r>
          </w:p>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r>
      <w:tr>
        <w:tblPrEx>
          <w:tblCellMar>
            <w:top w:w="0" w:type="dxa"/>
            <w:left w:w="0" w:type="dxa"/>
            <w:bottom w:w="0" w:type="dxa"/>
            <w:right w:w="0" w:type="dxa"/>
          </w:tblCellMar>
        </w:tblPrEx>
        <w:trPr>
          <w:trHeight w:val="300" w:hRule="atLeast"/>
        </w:trPr>
        <w:tc>
          <w:tcPr>
            <w:tcW w:w="86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2016</w:t>
            </w:r>
          </w:p>
        </w:tc>
        <w:tc>
          <w:tcPr>
            <w:tcW w:w="1860"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2271</w:t>
            </w:r>
          </w:p>
        </w:tc>
        <w:tc>
          <w:tcPr>
            <w:tcW w:w="2636"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6.22</w:t>
            </w:r>
          </w:p>
        </w:tc>
        <w:tc>
          <w:tcPr>
            <w:tcW w:w="3513"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r>
      <w:tr>
        <w:tblPrEx>
          <w:tblCellMar>
            <w:top w:w="0" w:type="dxa"/>
            <w:left w:w="0" w:type="dxa"/>
            <w:bottom w:w="0" w:type="dxa"/>
            <w:right w:w="0" w:type="dxa"/>
          </w:tblCellMar>
        </w:tblPrEx>
        <w:trPr>
          <w:trHeight w:val="300" w:hRule="atLeast"/>
        </w:trPr>
        <w:tc>
          <w:tcPr>
            <w:tcW w:w="86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2017</w:t>
            </w:r>
          </w:p>
        </w:tc>
        <w:tc>
          <w:tcPr>
            <w:tcW w:w="1860"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2419</w:t>
            </w:r>
          </w:p>
        </w:tc>
        <w:tc>
          <w:tcPr>
            <w:tcW w:w="2636"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6.63</w:t>
            </w:r>
          </w:p>
        </w:tc>
        <w:tc>
          <w:tcPr>
            <w:tcW w:w="3513"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6.6</w:t>
            </w:r>
          </w:p>
        </w:tc>
      </w:tr>
      <w:tr>
        <w:tblPrEx>
          <w:tblCellMar>
            <w:top w:w="0" w:type="dxa"/>
            <w:left w:w="0" w:type="dxa"/>
            <w:bottom w:w="0" w:type="dxa"/>
            <w:right w:w="0" w:type="dxa"/>
          </w:tblCellMar>
        </w:tblPrEx>
        <w:trPr>
          <w:trHeight w:val="300" w:hRule="atLeast"/>
        </w:trPr>
        <w:tc>
          <w:tcPr>
            <w:tcW w:w="86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2018</w:t>
            </w:r>
          </w:p>
        </w:tc>
        <w:tc>
          <w:tcPr>
            <w:tcW w:w="1860"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2517</w:t>
            </w:r>
          </w:p>
        </w:tc>
        <w:tc>
          <w:tcPr>
            <w:tcW w:w="2636"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6.90</w:t>
            </w:r>
          </w:p>
        </w:tc>
        <w:tc>
          <w:tcPr>
            <w:tcW w:w="3513" w:type="dxa"/>
            <w:tcBorders>
              <w:top w:val="nil"/>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4.1</w:t>
            </w:r>
          </w:p>
        </w:tc>
      </w:tr>
      <w:tr>
        <w:tblPrEx>
          <w:tblCellMar>
            <w:top w:w="0" w:type="dxa"/>
            <w:left w:w="0" w:type="dxa"/>
            <w:bottom w:w="0" w:type="dxa"/>
            <w:right w:w="0" w:type="dxa"/>
          </w:tblCellMar>
        </w:tblPrEx>
        <w:trPr>
          <w:trHeight w:val="300" w:hRule="atLeast"/>
        </w:trPr>
        <w:tc>
          <w:tcPr>
            <w:tcW w:w="86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2019</w:t>
            </w:r>
          </w:p>
        </w:tc>
        <w:tc>
          <w:tcPr>
            <w:tcW w:w="1860"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2622</w:t>
            </w:r>
          </w:p>
        </w:tc>
        <w:tc>
          <w:tcPr>
            <w:tcW w:w="2636"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7.18</w:t>
            </w:r>
          </w:p>
        </w:tc>
        <w:tc>
          <w:tcPr>
            <w:tcW w:w="3513"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4.1</w:t>
            </w:r>
          </w:p>
        </w:tc>
      </w:tr>
      <w:bookmarkEnd w:id="92"/>
    </w:tbl>
    <w:p>
      <w:pPr>
        <w:rPr>
          <w:rFonts w:hint="default" w:ascii="Times New Roman" w:hAnsi="Times New Roman" w:cs="Times New Roman"/>
          <w:sz w:val="32"/>
          <w:szCs w:val="32"/>
        </w:rPr>
      </w:pPr>
      <w:bookmarkStart w:id="93" w:name="_Toc59975757"/>
      <w:bookmarkStart w:id="94" w:name="_Toc18333"/>
    </w:p>
    <w:p>
      <w:pPr>
        <w:pStyle w:val="4"/>
        <w:spacing w:before="0" w:after="0" w:line="560" w:lineRule="exact"/>
        <w:ind w:left="0" w:leftChars="0" w:firstLine="0" w:firstLineChars="0"/>
        <w:jc w:val="center"/>
        <w:rPr>
          <w:rFonts w:hint="default" w:ascii="Times New Roman" w:hAnsi="Times New Roman" w:eastAsia="方正小标宋_GBK" w:cs="Times New Roman"/>
          <w:b w:val="0"/>
          <w:bCs w:val="0"/>
          <w:sz w:val="44"/>
          <w:szCs w:val="44"/>
        </w:rPr>
      </w:pPr>
      <w:bookmarkStart w:id="95" w:name="_Toc20702"/>
      <w:r>
        <w:rPr>
          <w:rFonts w:hint="default" w:ascii="Times New Roman" w:hAnsi="Times New Roman" w:eastAsia="方正小标宋_GBK" w:cs="Times New Roman"/>
          <w:b w:val="0"/>
          <w:bCs w:val="0"/>
          <w:sz w:val="44"/>
          <w:szCs w:val="44"/>
        </w:rPr>
        <w:t>第四章 水量预测</w:t>
      </w:r>
      <w:bookmarkEnd w:id="93"/>
      <w:bookmarkEnd w:id="94"/>
      <w:bookmarkEnd w:id="95"/>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96" w:name="_Toc59975758"/>
      <w:bookmarkStart w:id="97" w:name="_Toc32718"/>
      <w:bookmarkStart w:id="98" w:name="_Toc15122"/>
      <w:r>
        <w:rPr>
          <w:rFonts w:hint="default" w:ascii="Times New Roman" w:hAnsi="Times New Roman" w:eastAsia="方正黑体_GBK" w:cs="Times New Roman"/>
          <w:b w:val="0"/>
          <w:bCs/>
          <w:kern w:val="2"/>
          <w:sz w:val="32"/>
          <w:szCs w:val="32"/>
        </w:rPr>
        <w:t>一、预测方法</w:t>
      </w:r>
      <w:bookmarkEnd w:id="96"/>
      <w:bookmarkEnd w:id="97"/>
      <w:bookmarkEnd w:id="98"/>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城市用水量一般有四种方法进行预测：</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（一）人均综合指标法</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（二）单位建设用地综合指标法</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（三）单位分项建设用地指标法</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（四）趋势外推法</w:t>
      </w:r>
    </w:p>
    <w:p>
      <w:pPr>
        <w:spacing w:line="560" w:lineRule="exact"/>
        <w:ind w:firstLine="64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本次规划由于现有的人口、建设用地、产业分布统计数据均无法细分到各个片区中</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所以主要通过对近几年供水量数据分析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计算出规划年用水量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highlight w:val="none"/>
        </w:rPr>
        <w:t>同时利用现有的资料中对未来2025年及2035年人口和城市建设面积数据</w:t>
      </w:r>
      <w:r>
        <w:rPr>
          <w:rFonts w:hint="default" w:ascii="Times New Roman" w:hAnsi="Times New Roman" w:eastAsia="方正仿宋_GBK" w:cs="Times New Roman"/>
          <w:sz w:val="32"/>
          <w:szCs w:val="32"/>
          <w:highlight w:val="none"/>
          <w:lang w:eastAsia="zh-CN"/>
        </w:rPr>
        <w:t>的预测，来</w:t>
      </w:r>
      <w:r>
        <w:rPr>
          <w:rFonts w:hint="default" w:ascii="Times New Roman" w:hAnsi="Times New Roman" w:eastAsia="方正仿宋_GBK" w:cs="Times New Roman"/>
          <w:sz w:val="32"/>
          <w:szCs w:val="32"/>
          <w:highlight w:val="none"/>
        </w:rPr>
        <w:t>印证</w:t>
      </w:r>
      <w:r>
        <w:rPr>
          <w:rFonts w:hint="default" w:ascii="Times New Roman" w:hAnsi="Times New Roman" w:eastAsia="方正仿宋_GBK" w:cs="Times New Roman"/>
          <w:sz w:val="32"/>
          <w:szCs w:val="32"/>
          <w:highlight w:val="none"/>
          <w:lang w:eastAsia="zh-CN"/>
        </w:rPr>
        <w:t>水量</w:t>
      </w:r>
      <w:r>
        <w:rPr>
          <w:rFonts w:hint="default" w:ascii="Times New Roman" w:hAnsi="Times New Roman" w:eastAsia="方正仿宋_GBK" w:cs="Times New Roman"/>
          <w:sz w:val="32"/>
          <w:szCs w:val="32"/>
          <w:highlight w:val="none"/>
        </w:rPr>
        <w:t>预测结果的合理性。</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99" w:name="_Toc23807"/>
      <w:bookmarkStart w:id="100" w:name="_Toc29308"/>
      <w:bookmarkStart w:id="101" w:name="_Toc59975759"/>
      <w:r>
        <w:rPr>
          <w:rFonts w:hint="default" w:ascii="Times New Roman" w:hAnsi="Times New Roman" w:eastAsia="方正黑体_GBK" w:cs="Times New Roman"/>
          <w:b w:val="0"/>
          <w:bCs/>
          <w:kern w:val="2"/>
          <w:sz w:val="32"/>
          <w:szCs w:val="32"/>
        </w:rPr>
        <w:t>二、主要参数确定</w:t>
      </w:r>
      <w:bookmarkEnd w:id="99"/>
      <w:bookmarkEnd w:id="100"/>
      <w:bookmarkEnd w:id="101"/>
    </w:p>
    <w:p>
      <w:pPr>
        <w:spacing w:line="560" w:lineRule="exact"/>
        <w:ind w:firstLine="640"/>
        <w:rPr>
          <w:rFonts w:hint="default" w:ascii="Times New Roman" w:hAnsi="Times New Roman" w:eastAsia="方正楷体_GBK" w:cs="Times New Roman"/>
          <w:color w:val="auto"/>
          <w:sz w:val="32"/>
          <w:szCs w:val="32"/>
        </w:rPr>
      </w:pPr>
      <w:bookmarkStart w:id="102" w:name="_Toc22800"/>
      <w:r>
        <w:rPr>
          <w:rFonts w:hint="default" w:ascii="Times New Roman" w:hAnsi="Times New Roman" w:eastAsia="方正楷体_GBK" w:cs="Times New Roman"/>
          <w:color w:val="auto"/>
          <w:sz w:val="32"/>
          <w:szCs w:val="32"/>
        </w:rPr>
        <w:t>（一）预测人口及城市建设面积</w:t>
      </w:r>
      <w:bookmarkEnd w:id="102"/>
    </w:p>
    <w:p>
      <w:pPr>
        <w:spacing w:line="540" w:lineRule="exact"/>
        <w:ind w:firstLine="64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2020年全区户籍人口55.56万人。根据第七次全国人口普查，2020年全区常住人口48.7281万人。其中，城镇常住人口28.8462万人。常住人口城镇化率59.2%。人口仍然呈现净流出，但迁出的人口总量在逐年减少。</w:t>
      </w:r>
    </w:p>
    <w:p>
      <w:pPr>
        <w:spacing w:line="540" w:lineRule="exact"/>
        <w:ind w:firstLine="640"/>
        <w:jc w:val="left"/>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rPr>
        <w:t>根据黔江区统计局发布的第七次全国人口普查数据</w:t>
      </w:r>
      <w:r>
        <w:rPr>
          <w:rFonts w:hint="default" w:ascii="Times New Roman" w:hAnsi="Times New Roman" w:eastAsia="方正仿宋_GBK" w:cs="Times New Roman"/>
          <w:color w:val="auto"/>
          <w:sz w:val="32"/>
          <w:szCs w:val="32"/>
          <w:highlight w:val="none"/>
        </w:rPr>
        <w:t>及《重庆市黔江区国民经济和社会发展第十四个五年规划和二〇三五年远景目标纲要》，2020年黔江区现状中心城镇人口28.8462万人，预测未来2025年中心城区城市人口30万人；未来</w:t>
      </w:r>
      <w:r>
        <w:rPr>
          <w:rFonts w:hint="default" w:ascii="Times New Roman" w:hAnsi="Times New Roman" w:eastAsia="方正仿宋_GBK" w:cs="Times New Roman"/>
          <w:color w:val="auto"/>
          <w:sz w:val="32"/>
          <w:szCs w:val="32"/>
          <w:highlight w:val="none"/>
          <w:lang w:val="en-US" w:eastAsia="zh-CN"/>
        </w:rPr>
        <w:t>2035</w:t>
      </w:r>
      <w:r>
        <w:rPr>
          <w:rFonts w:hint="default" w:ascii="Times New Roman" w:hAnsi="Times New Roman" w:eastAsia="方正仿宋_GBK" w:cs="Times New Roman"/>
          <w:color w:val="auto"/>
          <w:sz w:val="32"/>
          <w:szCs w:val="32"/>
          <w:highlight w:val="none"/>
        </w:rPr>
        <w:t>年中心城区城市人口50万人；2019年黔江区现状城市建设用地为18.89平方公里，预测2025年城市建设用地规模为30平方公里，2035年城市建设用地规模为50平方公里。</w:t>
      </w:r>
    </w:p>
    <w:p>
      <w:pPr>
        <w:adjustRightInd w:val="0"/>
        <w:snapToGrid w:val="0"/>
        <w:spacing w:line="560" w:lineRule="exact"/>
        <w:ind w:firstLine="0" w:firstLineChars="0"/>
        <w:jc w:val="center"/>
        <w:rPr>
          <w:rFonts w:hint="default" w:ascii="Times New Roman" w:hAnsi="Times New Roman" w:eastAsia="方正仿宋_GBK" w:cs="Times New Roman"/>
          <w:b/>
          <w:color w:val="auto"/>
          <w:spacing w:val="-6"/>
          <w:sz w:val="32"/>
          <w:szCs w:val="32"/>
        </w:rPr>
      </w:pPr>
      <w:r>
        <w:rPr>
          <w:rFonts w:hint="default" w:ascii="Times New Roman" w:hAnsi="Times New Roman" w:eastAsia="方正仿宋_GBK" w:cs="Times New Roman"/>
          <w:b/>
          <w:color w:val="auto"/>
          <w:spacing w:val="-6"/>
          <w:sz w:val="32"/>
          <w:szCs w:val="32"/>
        </w:rPr>
        <w:t>表 4-1黔江区近年人口情况统计表（单位：万人）</w:t>
      </w:r>
    </w:p>
    <w:tbl>
      <w:tblPr>
        <w:tblStyle w:val="12"/>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637"/>
        <w:gridCol w:w="619"/>
        <w:gridCol w:w="769"/>
        <w:gridCol w:w="712"/>
        <w:gridCol w:w="731"/>
        <w:gridCol w:w="750"/>
        <w:gridCol w:w="732"/>
        <w:gridCol w:w="637"/>
        <w:gridCol w:w="638"/>
        <w:gridCol w:w="637"/>
        <w:gridCol w:w="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vMerge w:val="restart"/>
            <w:vAlign w:val="center"/>
          </w:tcPr>
          <w:p>
            <w:pPr>
              <w:spacing w:line="400" w:lineRule="exact"/>
              <w:ind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类别</w:t>
            </w:r>
          </w:p>
        </w:tc>
        <w:tc>
          <w:tcPr>
            <w:tcW w:w="7471" w:type="dxa"/>
            <w:gridSpan w:val="11"/>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2010</w:t>
            </w:r>
          </w:p>
        </w:tc>
        <w:tc>
          <w:tcPr>
            <w:tcW w:w="6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2011</w:t>
            </w:r>
          </w:p>
        </w:tc>
        <w:tc>
          <w:tcPr>
            <w:tcW w:w="76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2012</w:t>
            </w:r>
          </w:p>
        </w:tc>
        <w:tc>
          <w:tcPr>
            <w:tcW w:w="7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2013</w:t>
            </w:r>
          </w:p>
        </w:tc>
        <w:tc>
          <w:tcPr>
            <w:tcW w:w="73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2014</w:t>
            </w:r>
          </w:p>
        </w:tc>
        <w:tc>
          <w:tcPr>
            <w:tcW w:w="75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2015</w:t>
            </w:r>
          </w:p>
        </w:tc>
        <w:tc>
          <w:tcPr>
            <w:tcW w:w="7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2016</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2017</w:t>
            </w:r>
          </w:p>
        </w:tc>
        <w:tc>
          <w:tcPr>
            <w:tcW w:w="63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2018</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2019</w:t>
            </w:r>
          </w:p>
        </w:tc>
        <w:tc>
          <w:tcPr>
            <w:tcW w:w="60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45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户籍人口</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53.6</w:t>
            </w:r>
          </w:p>
        </w:tc>
        <w:tc>
          <w:tcPr>
            <w:tcW w:w="6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54.13</w:t>
            </w:r>
          </w:p>
        </w:tc>
        <w:tc>
          <w:tcPr>
            <w:tcW w:w="76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54.51</w:t>
            </w:r>
          </w:p>
        </w:tc>
        <w:tc>
          <w:tcPr>
            <w:tcW w:w="7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54.89</w:t>
            </w:r>
          </w:p>
        </w:tc>
        <w:tc>
          <w:tcPr>
            <w:tcW w:w="73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55.33</w:t>
            </w:r>
          </w:p>
        </w:tc>
        <w:tc>
          <w:tcPr>
            <w:tcW w:w="75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55.05</w:t>
            </w:r>
          </w:p>
        </w:tc>
        <w:tc>
          <w:tcPr>
            <w:tcW w:w="7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55.41</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55.45</w:t>
            </w:r>
          </w:p>
        </w:tc>
        <w:tc>
          <w:tcPr>
            <w:tcW w:w="63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55.66</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55.73</w:t>
            </w:r>
          </w:p>
        </w:tc>
        <w:tc>
          <w:tcPr>
            <w:tcW w:w="60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常住人口</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44.5</w:t>
            </w:r>
          </w:p>
        </w:tc>
        <w:tc>
          <w:tcPr>
            <w:tcW w:w="6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44.63</w:t>
            </w:r>
          </w:p>
        </w:tc>
        <w:tc>
          <w:tcPr>
            <w:tcW w:w="76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44.91</w:t>
            </w:r>
          </w:p>
        </w:tc>
        <w:tc>
          <w:tcPr>
            <w:tcW w:w="7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45.31</w:t>
            </w:r>
          </w:p>
        </w:tc>
        <w:tc>
          <w:tcPr>
            <w:tcW w:w="73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45.66</w:t>
            </w:r>
          </w:p>
        </w:tc>
        <w:tc>
          <w:tcPr>
            <w:tcW w:w="75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46.2</w:t>
            </w:r>
          </w:p>
        </w:tc>
        <w:tc>
          <w:tcPr>
            <w:tcW w:w="7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46.56</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47.76</w:t>
            </w:r>
          </w:p>
        </w:tc>
        <w:tc>
          <w:tcPr>
            <w:tcW w:w="63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48.39</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48.59</w:t>
            </w:r>
          </w:p>
        </w:tc>
        <w:tc>
          <w:tcPr>
            <w:tcW w:w="60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48.73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40" w:leftChars="-50" w:right="-140" w:rightChars="-50" w:firstLine="0" w:firstLineChars="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常住城镇人口</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17.4</w:t>
            </w:r>
          </w:p>
        </w:tc>
        <w:tc>
          <w:tcPr>
            <w:tcW w:w="6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18.21</w:t>
            </w:r>
          </w:p>
        </w:tc>
        <w:tc>
          <w:tcPr>
            <w:tcW w:w="76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19.1</w:t>
            </w:r>
          </w:p>
        </w:tc>
        <w:tc>
          <w:tcPr>
            <w:tcW w:w="7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19.84</w:t>
            </w:r>
          </w:p>
        </w:tc>
        <w:tc>
          <w:tcPr>
            <w:tcW w:w="73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20.6</w:t>
            </w:r>
          </w:p>
        </w:tc>
        <w:tc>
          <w:tcPr>
            <w:tcW w:w="75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21.31</w:t>
            </w:r>
          </w:p>
        </w:tc>
        <w:tc>
          <w:tcPr>
            <w:tcW w:w="7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22.11</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23.45</w:t>
            </w:r>
          </w:p>
        </w:tc>
        <w:tc>
          <w:tcPr>
            <w:tcW w:w="63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24.52</w:t>
            </w:r>
          </w:p>
        </w:tc>
        <w:tc>
          <w:tcPr>
            <w:tcW w:w="6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25.35</w:t>
            </w:r>
          </w:p>
        </w:tc>
        <w:tc>
          <w:tcPr>
            <w:tcW w:w="60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28.85</w:t>
            </w:r>
          </w:p>
        </w:tc>
      </w:tr>
    </w:tbl>
    <w:p>
      <w:pPr>
        <w:adjustRightInd w:val="0"/>
        <w:snapToGrid w:val="0"/>
        <w:spacing w:line="560" w:lineRule="exact"/>
        <w:ind w:firstLine="64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从2010年到2020年，户籍人口总量增加1.96万人；年均增长0.196万人，年均增长率3.61‰，各年增长率的平均值为3.66‰。从2010年到202</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rPr>
        <w:t>年，常住人口总量增加4.23万人；年均增长0.423万人，年均增长率9.51‰（略高于重庆市8.9‰ ），各年增长率的平均值为9.14‰。2010-2020年间城镇常住人口总量增加11.45万人，年均增长1.145万人，年均增速6.58%（高于渝东南3.65%），各年增长率的平均值为5.23%。从城镇化率的情况来看，</w:t>
      </w:r>
      <w:r>
        <w:rPr>
          <w:rFonts w:hint="default" w:ascii="Times New Roman" w:hAnsi="Times New Roman" w:eastAsia="方正仿宋_GBK" w:cs="Times New Roman"/>
          <w:color w:val="auto"/>
          <w:sz w:val="32"/>
          <w:szCs w:val="32"/>
          <w:highlight w:val="none"/>
        </w:rPr>
        <w:t>黔江区的城镇人口和城镇化率</w:t>
      </w:r>
      <w:r>
        <w:rPr>
          <w:rFonts w:hint="default" w:ascii="Times New Roman" w:hAnsi="Times New Roman" w:eastAsia="方正仿宋_GBK" w:cs="Times New Roman"/>
          <w:color w:val="auto"/>
          <w:sz w:val="32"/>
          <w:szCs w:val="32"/>
          <w:highlight w:val="none"/>
          <w:lang w:eastAsia="zh-CN"/>
        </w:rPr>
        <w:t>总体</w:t>
      </w:r>
      <w:r>
        <w:rPr>
          <w:rFonts w:hint="default" w:ascii="Times New Roman" w:hAnsi="Times New Roman" w:eastAsia="方正仿宋_GBK" w:cs="Times New Roman"/>
          <w:color w:val="auto"/>
          <w:sz w:val="32"/>
          <w:szCs w:val="32"/>
          <w:highlight w:val="none"/>
        </w:rPr>
        <w:t>呈现增长趋势，</w:t>
      </w:r>
      <w:r>
        <w:rPr>
          <w:rFonts w:hint="default" w:ascii="Times New Roman" w:hAnsi="Times New Roman" w:eastAsia="方正仿宋_GBK" w:cs="Times New Roman"/>
          <w:color w:val="auto"/>
          <w:sz w:val="32"/>
          <w:szCs w:val="32"/>
        </w:rPr>
        <w:t>城镇化增长潜力大。</w:t>
      </w:r>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仿宋" w:cs="Times New Roman"/>
        </w:rPr>
        <w:drawing>
          <wp:anchor distT="0" distB="0" distL="0" distR="0" simplePos="0" relativeHeight="251666432" behindDoc="0" locked="0" layoutInCell="1" allowOverlap="1">
            <wp:simplePos x="0" y="0"/>
            <wp:positionH relativeFrom="column">
              <wp:posOffset>679450</wp:posOffset>
            </wp:positionH>
            <wp:positionV relativeFrom="paragraph">
              <wp:posOffset>28575</wp:posOffset>
            </wp:positionV>
            <wp:extent cx="4164330" cy="2107565"/>
            <wp:effectExtent l="4445" t="5080" r="22225" b="209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adjustRightInd w:val="0"/>
        <w:snapToGrid w:val="0"/>
        <w:spacing w:line="560" w:lineRule="exact"/>
        <w:ind w:firstLine="560"/>
        <w:rPr>
          <w:rFonts w:hint="default" w:ascii="Times New Roman" w:hAnsi="Times New Roman" w:eastAsia="方正仿宋_GBK" w:cs="Times New Roman"/>
          <w:sz w:val="32"/>
          <w:szCs w:val="32"/>
        </w:rPr>
      </w:pPr>
    </w:p>
    <w:p>
      <w:pPr>
        <w:adjustRightInd w:val="0"/>
        <w:snapToGrid w:val="0"/>
        <w:spacing w:line="560" w:lineRule="exact"/>
        <w:ind w:firstLine="640"/>
        <w:rPr>
          <w:rFonts w:hint="default" w:ascii="Times New Roman" w:hAnsi="Times New Roman" w:eastAsia="方正仿宋_GBK" w:cs="Times New Roman"/>
          <w:sz w:val="32"/>
          <w:szCs w:val="32"/>
        </w:rPr>
      </w:pPr>
    </w:p>
    <w:p>
      <w:pPr>
        <w:adjustRightInd w:val="0"/>
        <w:snapToGrid w:val="0"/>
        <w:spacing w:line="560" w:lineRule="exact"/>
        <w:ind w:firstLine="640"/>
        <w:rPr>
          <w:rFonts w:hint="default" w:ascii="Times New Roman" w:hAnsi="Times New Roman" w:eastAsia="方正仿宋_GBK" w:cs="Times New Roman"/>
          <w:sz w:val="32"/>
          <w:szCs w:val="32"/>
        </w:rPr>
      </w:pPr>
    </w:p>
    <w:p>
      <w:pPr>
        <w:ind w:firstLine="560"/>
        <w:rPr>
          <w:rFonts w:hint="default" w:ascii="Times New Roman" w:hAnsi="Times New Roman" w:cs="Times New Roman"/>
        </w:rPr>
      </w:pPr>
    </w:p>
    <w:p>
      <w:pPr>
        <w:ind w:firstLine="560"/>
        <w:rPr>
          <w:rFonts w:hint="default" w:ascii="Times New Roman" w:hAnsi="Times New Roman" w:cs="Times New Roman"/>
        </w:rPr>
      </w:pPr>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利用综合增长率法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考虑</w:t>
      </w:r>
      <w:r>
        <w:rPr>
          <w:rFonts w:hint="default" w:ascii="Times New Roman" w:hAnsi="Times New Roman" w:eastAsia="方正仿宋_GBK" w:cs="Times New Roman"/>
          <w:color w:val="auto"/>
          <w:sz w:val="32"/>
          <w:szCs w:val="32"/>
          <w:lang w:eastAsia="zh-CN"/>
        </w:rPr>
        <w:t>黔江区</w:t>
      </w:r>
      <w:r>
        <w:rPr>
          <w:rFonts w:hint="default" w:ascii="Times New Roman" w:hAnsi="Times New Roman" w:eastAsia="方正仿宋_GBK" w:cs="Times New Roman"/>
          <w:color w:val="auto"/>
          <w:sz w:val="32"/>
          <w:szCs w:val="32"/>
        </w:rPr>
        <w:t>处</w:t>
      </w:r>
      <w:r>
        <w:rPr>
          <w:rFonts w:hint="default" w:ascii="Times New Roman" w:hAnsi="Times New Roman" w:eastAsia="方正仿宋_GBK" w:cs="Times New Roman"/>
          <w:sz w:val="32"/>
          <w:szCs w:val="32"/>
        </w:rPr>
        <w:t>于城镇化快速发展阶段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城区用地拓展等人口吸引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前期城镇人口增幅较大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增长到一定阶段后放缓。取2020-2030年均增速5%左右</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2030-2035年均增速减缓为4%；未来2035年城镇常住人口50.6万人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中心城区城市人口45.2万人。</w:t>
      </w:r>
    </w:p>
    <w:bookmarkEnd w:id="27"/>
    <w:bookmarkEnd w:id="28"/>
    <w:bookmarkEnd w:id="29"/>
    <w:bookmarkEnd w:id="30"/>
    <w:p>
      <w:pPr>
        <w:spacing w:line="560" w:lineRule="exact"/>
        <w:ind w:firstLine="640"/>
        <w:rPr>
          <w:rFonts w:hint="default" w:ascii="Times New Roman" w:hAnsi="Times New Roman" w:eastAsia="方正楷体_GBK" w:cs="Times New Roman"/>
          <w:sz w:val="32"/>
          <w:szCs w:val="32"/>
        </w:rPr>
      </w:pPr>
      <w:bookmarkStart w:id="103" w:name="_Toc59975761"/>
      <w:bookmarkStart w:id="104" w:name="_Toc74734872"/>
      <w:bookmarkStart w:id="105" w:name="_Toc31525"/>
      <w:r>
        <w:rPr>
          <w:rFonts w:hint="default" w:ascii="Times New Roman" w:hAnsi="Times New Roman" w:eastAsia="方正楷体_GBK" w:cs="Times New Roman"/>
          <w:sz w:val="32"/>
          <w:szCs w:val="32"/>
        </w:rPr>
        <w:t>（二）城市单位人口综合用水指标</w:t>
      </w:r>
      <w:bookmarkEnd w:id="103"/>
      <w:bookmarkEnd w:id="104"/>
      <w:bookmarkEnd w:id="105"/>
    </w:p>
    <w:p>
      <w:pPr>
        <w:spacing w:line="560" w:lineRule="exact"/>
        <w:ind w:firstLine="64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参考《城市给水工程规划规范》（GB50282-2016）中城市单位人口综合用水量指标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本次</w:t>
      </w:r>
      <w:r>
        <w:rPr>
          <w:rFonts w:hint="default" w:ascii="Times New Roman" w:hAnsi="Times New Roman" w:eastAsia="方正仿宋_GBK" w:cs="Times New Roman"/>
          <w:sz w:val="32"/>
          <w:szCs w:val="32"/>
          <w:highlight w:val="none"/>
        </w:rPr>
        <w:t>规划取</w:t>
      </w:r>
      <w:r>
        <w:rPr>
          <w:rFonts w:hint="default" w:ascii="Times New Roman" w:hAnsi="Times New Roman" w:eastAsia="方正仿宋_GBK" w:cs="Times New Roman"/>
          <w:sz w:val="32"/>
          <w:szCs w:val="32"/>
        </w:rPr>
        <w:t>用指标范围为300~400升/人·日。</w:t>
      </w: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表4-2 城市单位人口综合用水指标参考表</w:t>
      </w:r>
    </w:p>
    <w:tbl>
      <w:tblPr>
        <w:tblStyle w:val="12"/>
        <w:tblpPr w:leftFromText="180" w:rightFromText="180" w:vertAnchor="text" w:horzAnchor="page" w:tblpX="1975" w:tblpY="21"/>
        <w:tblOverlap w:val="never"/>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1"/>
        <w:gridCol w:w="5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区/县</w:t>
            </w:r>
          </w:p>
        </w:tc>
        <w:tc>
          <w:tcPr>
            <w:tcW w:w="519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人均综合用水量指标区间（升/人·日）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中心城区</w:t>
            </w:r>
          </w:p>
        </w:tc>
        <w:tc>
          <w:tcPr>
            <w:tcW w:w="519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360~400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主城新区</w:t>
            </w:r>
          </w:p>
        </w:tc>
        <w:tc>
          <w:tcPr>
            <w:tcW w:w="519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380~420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渝东南片区</w:t>
            </w:r>
          </w:p>
        </w:tc>
        <w:tc>
          <w:tcPr>
            <w:tcW w:w="519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渝东北片区</w:t>
            </w:r>
          </w:p>
        </w:tc>
        <w:tc>
          <w:tcPr>
            <w:tcW w:w="519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300~400</w:t>
            </w:r>
          </w:p>
        </w:tc>
      </w:tr>
    </w:tbl>
    <w:p>
      <w:pPr>
        <w:adjustRightInd w:val="0"/>
        <w:snapToGrid w:val="0"/>
        <w:spacing w:line="560" w:lineRule="exact"/>
        <w:ind w:firstLine="640"/>
        <w:rPr>
          <w:rFonts w:hint="default" w:ascii="Times New Roman" w:hAnsi="Times New Roman" w:eastAsia="方正仿宋_GBK" w:cs="Times New Roman"/>
          <w:sz w:val="32"/>
          <w:szCs w:val="32"/>
        </w:rPr>
      </w:pPr>
      <w:bookmarkStart w:id="106" w:name="_Toc7803"/>
      <w:bookmarkStart w:id="107" w:name="_Toc74734873"/>
      <w:bookmarkStart w:id="108" w:name="_Toc59975763"/>
      <w:r>
        <w:rPr>
          <w:rFonts w:hint="default" w:ascii="Times New Roman" w:hAnsi="Times New Roman" w:eastAsia="方正仿宋_GBK" w:cs="Times New Roman"/>
          <w:sz w:val="32"/>
          <w:szCs w:val="32"/>
        </w:rPr>
        <w:t>（三）单位建设用地用水指标</w:t>
      </w:r>
      <w:bookmarkEnd w:id="106"/>
      <w:bookmarkEnd w:id="107"/>
      <w:bookmarkEnd w:id="108"/>
    </w:p>
    <w:p>
      <w:pPr>
        <w:adjustRightInd w:val="0"/>
        <w:snapToGrid w:val="0"/>
        <w:spacing w:line="560" w:lineRule="exact"/>
        <w:ind w:firstLine="640"/>
        <w:rPr>
          <w:rFonts w:hint="default" w:ascii="Times New Roman" w:hAnsi="Times New Roman" w:eastAsia="方正仿宋_GBK" w:cs="Times New Roman"/>
          <w:b/>
          <w:spacing w:val="-6"/>
          <w:sz w:val="32"/>
          <w:szCs w:val="32"/>
        </w:rPr>
      </w:pPr>
      <w:bookmarkStart w:id="109" w:name="_Toc74734874"/>
      <w:r>
        <w:rPr>
          <w:rFonts w:hint="default" w:ascii="Times New Roman" w:hAnsi="Times New Roman" w:eastAsia="方正仿宋_GBK" w:cs="Times New Roman"/>
          <w:sz w:val="32"/>
          <w:szCs w:val="32"/>
        </w:rPr>
        <w:t>根据《城市给水工程规划规范》GB50282-2016的规定</w:t>
      </w:r>
      <w:bookmarkEnd w:id="109"/>
      <w:bookmarkStart w:id="110" w:name="_Toc74734875"/>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黔江区属于三区中等城市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参考该指标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本次</w:t>
      </w:r>
      <w:r>
        <w:rPr>
          <w:rFonts w:hint="default" w:ascii="Times New Roman" w:hAnsi="Times New Roman" w:eastAsia="方正仿宋_GBK" w:cs="Times New Roman"/>
          <w:sz w:val="32"/>
          <w:szCs w:val="32"/>
          <w:highlight w:val="none"/>
        </w:rPr>
        <w:t>规划取</w:t>
      </w:r>
      <w:r>
        <w:rPr>
          <w:rFonts w:hint="default" w:ascii="Times New Roman" w:hAnsi="Times New Roman" w:eastAsia="方正仿宋_GBK" w:cs="Times New Roman"/>
          <w:sz w:val="32"/>
          <w:szCs w:val="32"/>
        </w:rPr>
        <w:t>用城市单位用地综合用水量指标范围为0.3~0.6万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highlight w:val="none"/>
        </w:rPr>
        <w:t>km</w:t>
      </w:r>
      <w:r>
        <w:rPr>
          <w:rFonts w:hint="default" w:ascii="Times New Roman" w:hAnsi="Times New Roman" w:eastAsia="方正仿宋_GBK" w:cs="Times New Roman"/>
          <w:sz w:val="32"/>
          <w:szCs w:val="32"/>
          <w:highlight w:val="none"/>
          <w:vertAlign w:val="superscript"/>
        </w:rPr>
        <w:t>2</w:t>
      </w:r>
      <w:r>
        <w:rPr>
          <w:rFonts w:hint="default" w:ascii="Times New Roman" w:hAnsi="Times New Roman" w:eastAsia="方正仿宋_GBK" w:cs="Times New Roman"/>
          <w:sz w:val="32"/>
          <w:szCs w:val="32"/>
        </w:rPr>
        <w:t>.d。</w:t>
      </w:r>
      <w:bookmarkEnd w:id="110"/>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 xml:space="preserve">表4-3城市单位建设用地综合用水量指标    </w:t>
      </w:r>
    </w:p>
    <w:p>
      <w:pPr>
        <w:spacing w:line="560" w:lineRule="exact"/>
        <w:ind w:firstLine="0" w:firstLineChars="0"/>
        <w:jc w:val="right"/>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单位：万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b/>
          <w:spacing w:val="-6"/>
          <w:sz w:val="32"/>
          <w:szCs w:val="32"/>
        </w:rPr>
        <w:t>/k</w:t>
      </w:r>
      <w:r>
        <w:rPr>
          <w:rFonts w:hint="default" w:ascii="Times New Roman" w:hAnsi="Times New Roman" w:eastAsia="方正仿宋_GBK" w:cs="Times New Roman"/>
          <w:sz w:val="32"/>
          <w:szCs w:val="32"/>
        </w:rPr>
        <w:t>m</w:t>
      </w:r>
      <w:r>
        <w:rPr>
          <w:rFonts w:hint="default" w:ascii="Times New Roman" w:hAnsi="Times New Roman" w:eastAsia="方正仿宋_GBK" w:cs="Times New Roman"/>
          <w:sz w:val="32"/>
          <w:szCs w:val="32"/>
          <w:vertAlign w:val="superscript"/>
        </w:rPr>
        <w:t>2</w:t>
      </w:r>
      <w:r>
        <w:rPr>
          <w:rFonts w:hint="default" w:ascii="Times New Roman" w:hAnsi="Times New Roman" w:eastAsia="方正仿宋_GBK" w:cs="Times New Roman"/>
          <w:b/>
          <w:spacing w:val="-6"/>
          <w:sz w:val="32"/>
          <w:szCs w:val="32"/>
        </w:rPr>
        <w:t>·d</w:t>
      </w:r>
    </w:p>
    <w:tbl>
      <w:tblPr>
        <w:tblStyle w:val="12"/>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950"/>
        <w:gridCol w:w="1883"/>
        <w:gridCol w:w="1950"/>
        <w:gridCol w:w="2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15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区域</w:t>
            </w:r>
          </w:p>
        </w:tc>
        <w:tc>
          <w:tcPr>
            <w:tcW w:w="7905"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城     市     规     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15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特大城市</w:t>
            </w:r>
          </w:p>
        </w:tc>
        <w:tc>
          <w:tcPr>
            <w:tcW w:w="188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大城市</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中等城市</w:t>
            </w:r>
          </w:p>
        </w:tc>
        <w:tc>
          <w:tcPr>
            <w:tcW w:w="212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小城市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5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一区</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1.0～1.6</w:t>
            </w:r>
          </w:p>
        </w:tc>
        <w:tc>
          <w:tcPr>
            <w:tcW w:w="188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0.8～1.4</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0.6～1.0</w:t>
            </w:r>
          </w:p>
        </w:tc>
        <w:tc>
          <w:tcPr>
            <w:tcW w:w="212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5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二区</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0.8～1.2</w:t>
            </w:r>
          </w:p>
        </w:tc>
        <w:tc>
          <w:tcPr>
            <w:tcW w:w="188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0.6～1.0</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0.4～0.7</w:t>
            </w:r>
          </w:p>
        </w:tc>
        <w:tc>
          <w:tcPr>
            <w:tcW w:w="212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5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三区</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0.6～1.0</w:t>
            </w:r>
          </w:p>
        </w:tc>
        <w:tc>
          <w:tcPr>
            <w:tcW w:w="188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0.5～0.8</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0.3～0.6</w:t>
            </w:r>
          </w:p>
        </w:tc>
        <w:tc>
          <w:tcPr>
            <w:tcW w:w="212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0.25～0.5</w:t>
            </w:r>
          </w:p>
        </w:tc>
      </w:tr>
    </w:tbl>
    <w:p>
      <w:pPr>
        <w:spacing w:line="560" w:lineRule="exact"/>
        <w:ind w:firstLine="480"/>
        <w:rPr>
          <w:rFonts w:hint="default" w:ascii="Times New Roman" w:hAnsi="Times New Roman" w:eastAsia="方正仿宋_GBK" w:cs="Times New Roman"/>
          <w:sz w:val="24"/>
          <w:szCs w:val="32"/>
        </w:rPr>
      </w:pPr>
      <w:r>
        <w:rPr>
          <w:rFonts w:hint="default" w:ascii="Times New Roman" w:hAnsi="Times New Roman" w:eastAsia="方正仿宋_GBK" w:cs="Times New Roman"/>
          <w:sz w:val="24"/>
          <w:szCs w:val="32"/>
        </w:rPr>
        <w:t>注：本表指标已包括管网漏失水量。</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111" w:name="_Toc23965"/>
      <w:bookmarkStart w:id="112" w:name="_Toc59975764"/>
      <w:bookmarkStart w:id="113" w:name="_Toc29285"/>
      <w:r>
        <w:rPr>
          <w:rFonts w:hint="default" w:ascii="Times New Roman" w:hAnsi="Times New Roman" w:eastAsia="方正黑体_GBK" w:cs="Times New Roman"/>
          <w:b w:val="0"/>
          <w:bCs/>
          <w:kern w:val="2"/>
          <w:sz w:val="32"/>
          <w:szCs w:val="32"/>
        </w:rPr>
        <w:t>三、水量预测</w:t>
      </w:r>
      <w:bookmarkEnd w:id="111"/>
      <w:bookmarkEnd w:id="112"/>
      <w:bookmarkEnd w:id="113"/>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14" w:name="_Toc74734877"/>
      <w:bookmarkStart w:id="115" w:name="_Toc27861"/>
      <w:r>
        <w:rPr>
          <w:rFonts w:hint="default" w:ascii="Times New Roman" w:hAnsi="Times New Roman" w:eastAsia="方正楷体_GBK" w:cs="Times New Roman"/>
          <w:sz w:val="32"/>
          <w:szCs w:val="32"/>
        </w:rPr>
        <w:t>（一）趋势外推法</w:t>
      </w:r>
      <w:bookmarkEnd w:id="114"/>
      <w:bookmarkEnd w:id="115"/>
    </w:p>
    <w:p>
      <w:pPr>
        <w:spacing w:line="560" w:lineRule="exact"/>
        <w:ind w:firstLine="0" w:firstLineChars="0"/>
        <w:jc w:val="center"/>
        <w:rPr>
          <w:rFonts w:hint="default" w:ascii="Times New Roman" w:hAnsi="Times New Roman" w:eastAsia="方正仿宋_GBK" w:cs="Times New Roman"/>
          <w:b/>
          <w:spacing w:val="-6"/>
          <w:sz w:val="32"/>
          <w:szCs w:val="32"/>
          <w:lang w:eastAsia="zh-CN"/>
        </w:rPr>
      </w:pPr>
      <w:r>
        <w:rPr>
          <w:rFonts w:hint="default" w:ascii="Times New Roman" w:hAnsi="Times New Roman" w:eastAsia="方正仿宋_GBK" w:cs="Times New Roman"/>
          <w:b/>
          <w:spacing w:val="-6"/>
          <w:sz w:val="32"/>
          <w:szCs w:val="32"/>
        </w:rPr>
        <w:t>表4-4 2016</w:t>
      </w:r>
      <w:r>
        <w:rPr>
          <w:rFonts w:hint="default" w:ascii="Times New Roman" w:hAnsi="Times New Roman" w:eastAsia="方正仿宋_GBK" w:cs="Times New Roman"/>
          <w:b/>
          <w:spacing w:val="-6"/>
          <w:sz w:val="32"/>
          <w:szCs w:val="32"/>
          <w:highlight w:val="none"/>
          <w:lang w:eastAsia="zh-CN"/>
        </w:rPr>
        <w:t>—2019年</w:t>
      </w:r>
      <w:r>
        <w:rPr>
          <w:rFonts w:hint="default" w:ascii="Times New Roman" w:hAnsi="Times New Roman" w:eastAsia="方正仿宋_GBK" w:cs="Times New Roman"/>
          <w:b/>
          <w:spacing w:val="-6"/>
          <w:sz w:val="32"/>
          <w:szCs w:val="32"/>
        </w:rPr>
        <w:t>城市供水量统计</w:t>
      </w:r>
      <w:r>
        <w:rPr>
          <w:rFonts w:hint="default" w:ascii="Times New Roman" w:hAnsi="Times New Roman" w:eastAsia="方正仿宋_GBK" w:cs="Times New Roman"/>
          <w:b/>
          <w:spacing w:val="-6"/>
          <w:sz w:val="32"/>
          <w:szCs w:val="32"/>
          <w:lang w:val="en-US" w:eastAsia="zh-CN"/>
        </w:rPr>
        <w:t xml:space="preserve">   </w:t>
      </w:r>
      <w:r>
        <w:rPr>
          <w:rFonts w:hint="default" w:ascii="Times New Roman" w:hAnsi="Times New Roman" w:eastAsia="方正仿宋_GBK" w:cs="Times New Roman"/>
          <w:b/>
          <w:spacing w:val="-6"/>
          <w:sz w:val="32"/>
          <w:szCs w:val="32"/>
          <w:lang w:eastAsia="zh-CN"/>
        </w:rPr>
        <w:t>单位：</w:t>
      </w:r>
      <w:r>
        <w:rPr>
          <w:rFonts w:hint="default" w:ascii="Times New Roman" w:hAnsi="Times New Roman" w:eastAsia="方正仿宋_GBK" w:cs="Times New Roman"/>
          <w:szCs w:val="28"/>
        </w:rPr>
        <w:t>万</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p>
    <w:tbl>
      <w:tblPr>
        <w:tblStyle w:val="13"/>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2206"/>
        <w:gridCol w:w="1440"/>
        <w:gridCol w:w="1350"/>
        <w:gridCol w:w="1305"/>
        <w:gridCol w:w="1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分区</w:t>
            </w:r>
          </w:p>
        </w:tc>
        <w:tc>
          <w:tcPr>
            <w:tcW w:w="2206" w:type="dxa"/>
            <w:vAlign w:val="center"/>
          </w:tcPr>
          <w:p>
            <w:pPr>
              <w:spacing w:line="400" w:lineRule="exact"/>
              <w:ind w:left="-140" w:leftChars="-50" w:right="-140" w:rightChars="-50" w:firstLine="560"/>
              <w:jc w:val="center"/>
              <w:rPr>
                <w:rFonts w:hint="default" w:ascii="Times New Roman" w:hAnsi="Times New Roman" w:eastAsia="方正仿宋_GBK" w:cs="Times New Roman"/>
                <w:szCs w:val="28"/>
              </w:rPr>
            </w:pPr>
          </w:p>
        </w:tc>
        <w:tc>
          <w:tcPr>
            <w:tcW w:w="144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2016</w:t>
            </w:r>
          </w:p>
        </w:tc>
        <w:tc>
          <w:tcPr>
            <w:tcW w:w="135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2017</w:t>
            </w:r>
          </w:p>
        </w:tc>
        <w:tc>
          <w:tcPr>
            <w:tcW w:w="1305"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2018</w:t>
            </w:r>
          </w:p>
        </w:tc>
        <w:tc>
          <w:tcPr>
            <w:tcW w:w="125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老城片区</w:t>
            </w:r>
          </w:p>
        </w:tc>
        <w:tc>
          <w:tcPr>
            <w:tcW w:w="220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44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1515</w:t>
            </w:r>
          </w:p>
        </w:tc>
        <w:tc>
          <w:tcPr>
            <w:tcW w:w="135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1567</w:t>
            </w:r>
          </w:p>
        </w:tc>
        <w:tc>
          <w:tcPr>
            <w:tcW w:w="130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1566</w:t>
            </w:r>
          </w:p>
        </w:tc>
        <w:tc>
          <w:tcPr>
            <w:tcW w:w="125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20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44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4.15</w:t>
            </w:r>
          </w:p>
        </w:tc>
        <w:tc>
          <w:tcPr>
            <w:tcW w:w="135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4.29</w:t>
            </w:r>
          </w:p>
        </w:tc>
        <w:tc>
          <w:tcPr>
            <w:tcW w:w="1305"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4.29</w:t>
            </w:r>
          </w:p>
        </w:tc>
        <w:tc>
          <w:tcPr>
            <w:tcW w:w="125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正阳、青杠、冯家</w:t>
            </w:r>
          </w:p>
        </w:tc>
        <w:tc>
          <w:tcPr>
            <w:tcW w:w="220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44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449</w:t>
            </w:r>
          </w:p>
        </w:tc>
        <w:tc>
          <w:tcPr>
            <w:tcW w:w="135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518</w:t>
            </w:r>
          </w:p>
        </w:tc>
        <w:tc>
          <w:tcPr>
            <w:tcW w:w="130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578</w:t>
            </w:r>
          </w:p>
        </w:tc>
        <w:tc>
          <w:tcPr>
            <w:tcW w:w="125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20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44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1.23</w:t>
            </w:r>
          </w:p>
        </w:tc>
        <w:tc>
          <w:tcPr>
            <w:tcW w:w="135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1.42</w:t>
            </w:r>
          </w:p>
        </w:tc>
        <w:tc>
          <w:tcPr>
            <w:tcW w:w="1305"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1.58</w:t>
            </w:r>
          </w:p>
        </w:tc>
        <w:tc>
          <w:tcPr>
            <w:tcW w:w="125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w:t>
            </w:r>
          </w:p>
        </w:tc>
        <w:tc>
          <w:tcPr>
            <w:tcW w:w="220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44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307</w:t>
            </w:r>
          </w:p>
        </w:tc>
        <w:tc>
          <w:tcPr>
            <w:tcW w:w="135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334</w:t>
            </w:r>
          </w:p>
        </w:tc>
        <w:tc>
          <w:tcPr>
            <w:tcW w:w="130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372</w:t>
            </w:r>
          </w:p>
        </w:tc>
        <w:tc>
          <w:tcPr>
            <w:tcW w:w="125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20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44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0.84</w:t>
            </w:r>
          </w:p>
        </w:tc>
        <w:tc>
          <w:tcPr>
            <w:tcW w:w="135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0.92</w:t>
            </w:r>
          </w:p>
        </w:tc>
        <w:tc>
          <w:tcPr>
            <w:tcW w:w="1305"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1.02</w:t>
            </w:r>
          </w:p>
        </w:tc>
        <w:tc>
          <w:tcPr>
            <w:tcW w:w="125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220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44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2271</w:t>
            </w:r>
          </w:p>
        </w:tc>
        <w:tc>
          <w:tcPr>
            <w:tcW w:w="135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2419</w:t>
            </w:r>
          </w:p>
        </w:tc>
        <w:tc>
          <w:tcPr>
            <w:tcW w:w="1305"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2517</w:t>
            </w:r>
          </w:p>
        </w:tc>
        <w:tc>
          <w:tcPr>
            <w:tcW w:w="125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3"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20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44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6.22</w:t>
            </w:r>
          </w:p>
        </w:tc>
        <w:tc>
          <w:tcPr>
            <w:tcW w:w="135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6.63</w:t>
            </w:r>
          </w:p>
        </w:tc>
        <w:tc>
          <w:tcPr>
            <w:tcW w:w="1305"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6.9</w:t>
            </w:r>
          </w:p>
        </w:tc>
        <w:tc>
          <w:tcPr>
            <w:tcW w:w="125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7.18</w:t>
            </w:r>
          </w:p>
        </w:tc>
      </w:tr>
    </w:tbl>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通过计算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可以得出：</w:t>
      </w:r>
    </w:p>
    <w:p>
      <w:pPr>
        <w:spacing w:line="560" w:lineRule="exact"/>
        <w:ind w:firstLine="0" w:firstLineChars="0"/>
        <w:jc w:val="center"/>
        <w:rPr>
          <w:rFonts w:hint="default" w:ascii="Times New Roman" w:hAnsi="Times New Roman" w:eastAsia="方正仿宋_GBK" w:cs="Times New Roman"/>
          <w:b/>
          <w:spacing w:val="-6"/>
          <w:sz w:val="32"/>
          <w:szCs w:val="32"/>
          <w:lang w:val="en-US" w:eastAsia="zh-CN"/>
        </w:rPr>
      </w:pPr>
      <w:r>
        <w:rPr>
          <w:rFonts w:hint="default" w:ascii="Times New Roman" w:hAnsi="Times New Roman" w:eastAsia="方正仿宋_GBK" w:cs="Times New Roman"/>
          <w:b/>
          <w:spacing w:val="-6"/>
          <w:sz w:val="32"/>
          <w:szCs w:val="32"/>
          <w:lang w:val="en-US" w:eastAsia="zh-CN"/>
        </w:rPr>
        <w:t xml:space="preserve">       </w:t>
      </w:r>
      <w:r>
        <w:rPr>
          <w:rFonts w:hint="default" w:ascii="Times New Roman" w:hAnsi="Times New Roman" w:eastAsia="方正仿宋_GBK" w:cs="Times New Roman"/>
          <w:b/>
          <w:spacing w:val="-6"/>
          <w:sz w:val="32"/>
          <w:szCs w:val="32"/>
        </w:rPr>
        <w:t>表4-5规划水量预测表</w:t>
      </w:r>
      <w:r>
        <w:rPr>
          <w:rFonts w:hint="default" w:ascii="Times New Roman" w:hAnsi="Times New Roman" w:eastAsia="方正仿宋_GBK" w:cs="Times New Roman"/>
          <w:b/>
          <w:spacing w:val="-6"/>
          <w:sz w:val="32"/>
          <w:szCs w:val="32"/>
          <w:lang w:val="en-US" w:eastAsia="zh-CN"/>
        </w:rPr>
        <w:t xml:space="preserve">        </w:t>
      </w:r>
      <w:r>
        <w:rPr>
          <w:rFonts w:hint="default" w:ascii="Times New Roman" w:hAnsi="Times New Roman" w:eastAsia="方正仿宋_GBK" w:cs="Times New Roman"/>
          <w:b/>
          <w:spacing w:val="-6"/>
          <w:sz w:val="32"/>
          <w:szCs w:val="32"/>
          <w:lang w:eastAsia="zh-CN"/>
        </w:rPr>
        <w:t>单位：</w:t>
      </w:r>
      <w:r>
        <w:rPr>
          <w:rFonts w:hint="default" w:ascii="Times New Roman" w:hAnsi="Times New Roman" w:eastAsia="方正仿宋_GBK" w:cs="Times New Roman"/>
          <w:szCs w:val="28"/>
        </w:rPr>
        <w:t>万</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p>
    <w:tbl>
      <w:tblPr>
        <w:tblStyle w:val="13"/>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4"/>
        <w:gridCol w:w="2910"/>
        <w:gridCol w:w="1589"/>
        <w:gridCol w:w="1437"/>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分区</w:t>
            </w:r>
          </w:p>
        </w:tc>
        <w:tc>
          <w:tcPr>
            <w:tcW w:w="29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1589"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2019</w:t>
            </w:r>
          </w:p>
        </w:tc>
        <w:tc>
          <w:tcPr>
            <w:tcW w:w="143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2025</w:t>
            </w:r>
          </w:p>
        </w:tc>
        <w:tc>
          <w:tcPr>
            <w:tcW w:w="134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老城片区</w:t>
            </w:r>
          </w:p>
        </w:tc>
        <w:tc>
          <w:tcPr>
            <w:tcW w:w="29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5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1659</w:t>
            </w:r>
          </w:p>
        </w:tc>
        <w:tc>
          <w:tcPr>
            <w:tcW w:w="14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1981 </w:t>
            </w:r>
          </w:p>
        </w:tc>
        <w:tc>
          <w:tcPr>
            <w:tcW w:w="134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91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589"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4.54</w:t>
            </w:r>
          </w:p>
        </w:tc>
        <w:tc>
          <w:tcPr>
            <w:tcW w:w="143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5.43 </w:t>
            </w:r>
          </w:p>
        </w:tc>
        <w:tc>
          <w:tcPr>
            <w:tcW w:w="134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74"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正阳、青杠、冯家</w:t>
            </w:r>
          </w:p>
        </w:tc>
        <w:tc>
          <w:tcPr>
            <w:tcW w:w="29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5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660</w:t>
            </w:r>
          </w:p>
        </w:tc>
        <w:tc>
          <w:tcPr>
            <w:tcW w:w="14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1448 </w:t>
            </w:r>
          </w:p>
        </w:tc>
        <w:tc>
          <w:tcPr>
            <w:tcW w:w="134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91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589"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1.81</w:t>
            </w:r>
          </w:p>
        </w:tc>
        <w:tc>
          <w:tcPr>
            <w:tcW w:w="143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3.97</w:t>
            </w:r>
          </w:p>
        </w:tc>
        <w:tc>
          <w:tcPr>
            <w:tcW w:w="134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8.45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w:t>
            </w:r>
          </w:p>
        </w:tc>
        <w:tc>
          <w:tcPr>
            <w:tcW w:w="29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5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303</w:t>
            </w:r>
          </w:p>
        </w:tc>
        <w:tc>
          <w:tcPr>
            <w:tcW w:w="14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537</w:t>
            </w:r>
          </w:p>
        </w:tc>
        <w:tc>
          <w:tcPr>
            <w:tcW w:w="134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91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589"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0.83</w:t>
            </w:r>
          </w:p>
        </w:tc>
        <w:tc>
          <w:tcPr>
            <w:tcW w:w="143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1.47</w:t>
            </w:r>
          </w:p>
        </w:tc>
        <w:tc>
          <w:tcPr>
            <w:tcW w:w="134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2.75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74"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29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年供水量</w:t>
            </w:r>
          </w:p>
        </w:tc>
        <w:tc>
          <w:tcPr>
            <w:tcW w:w="15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2647</w:t>
            </w:r>
          </w:p>
        </w:tc>
        <w:tc>
          <w:tcPr>
            <w:tcW w:w="143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3997</w:t>
            </w:r>
          </w:p>
        </w:tc>
        <w:tc>
          <w:tcPr>
            <w:tcW w:w="134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910"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日供水量</w:t>
            </w:r>
          </w:p>
        </w:tc>
        <w:tc>
          <w:tcPr>
            <w:tcW w:w="1589"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7.18</w:t>
            </w:r>
          </w:p>
        </w:tc>
        <w:tc>
          <w:tcPr>
            <w:tcW w:w="1437"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10.87</w:t>
            </w:r>
          </w:p>
        </w:tc>
        <w:tc>
          <w:tcPr>
            <w:tcW w:w="1346" w:type="dxa"/>
            <w:vAlign w:val="center"/>
          </w:tcPr>
          <w:p>
            <w:pPr>
              <w:widowControl/>
              <w:spacing w:line="400" w:lineRule="exact"/>
              <w:ind w:left="-140" w:leftChars="-50" w:right="-140" w:rightChars="-50" w:firstLine="0" w:firstLineChars="0"/>
              <w:jc w:val="center"/>
              <w:textAlignment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18.2</w:t>
            </w:r>
          </w:p>
        </w:tc>
      </w:tr>
    </w:tbl>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16" w:name="_Toc74734878"/>
      <w:bookmarkStart w:id="117" w:name="_Toc59975773"/>
      <w:bookmarkStart w:id="118" w:name="_Toc19243"/>
      <w:r>
        <w:rPr>
          <w:rFonts w:hint="default" w:ascii="Times New Roman" w:hAnsi="Times New Roman" w:eastAsia="方正楷体_GBK" w:cs="Times New Roman"/>
          <w:sz w:val="32"/>
          <w:szCs w:val="32"/>
        </w:rPr>
        <w:t>（二）城市人口综合指标法</w:t>
      </w:r>
      <w:bookmarkEnd w:id="116"/>
    </w:p>
    <w:p>
      <w:pPr>
        <w:adjustRightInd w:val="0"/>
        <w:snapToGrid w:val="0"/>
        <w:spacing w:line="560" w:lineRule="exact"/>
        <w:ind w:firstLine="640"/>
        <w:rPr>
          <w:rFonts w:hint="default" w:ascii="Times New Roman" w:hAnsi="Times New Roman" w:eastAsia="方正仿宋_GBK" w:cs="Times New Roman"/>
          <w:sz w:val="32"/>
          <w:szCs w:val="32"/>
        </w:rPr>
      </w:pPr>
      <w:bookmarkStart w:id="119" w:name="_Toc74734879"/>
      <w:r>
        <w:rPr>
          <w:rFonts w:hint="default" w:ascii="Times New Roman" w:hAnsi="Times New Roman" w:eastAsia="方正仿宋_GBK" w:cs="Times New Roman"/>
          <w:sz w:val="32"/>
          <w:szCs w:val="32"/>
        </w:rPr>
        <w:t>预测用水量＝服务人口×人均综合最高日用水量指标。</w:t>
      </w:r>
      <w:bookmarkEnd w:id="119"/>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参考《城市给水工程规划规范》（GB50282-2016）中城市单位人口综合用水量指标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本次</w:t>
      </w:r>
      <w:r>
        <w:rPr>
          <w:rFonts w:hint="default" w:ascii="Times New Roman" w:hAnsi="Times New Roman" w:eastAsia="方正仿宋_GBK" w:cs="Times New Roman"/>
          <w:sz w:val="32"/>
          <w:szCs w:val="32"/>
          <w:highlight w:val="none"/>
        </w:rPr>
        <w:t>规划取</w:t>
      </w:r>
      <w:r>
        <w:rPr>
          <w:rFonts w:hint="default" w:ascii="Times New Roman" w:hAnsi="Times New Roman" w:eastAsia="方正仿宋_GBK" w:cs="Times New Roman"/>
          <w:sz w:val="32"/>
          <w:szCs w:val="32"/>
        </w:rPr>
        <w:t>用指标范围为300~400升/人·日。</w:t>
      </w: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表4-6 城市单位人口综合用水指标参考表</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8"/>
        <w:gridCol w:w="4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128"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区/县</w:t>
            </w:r>
          </w:p>
        </w:tc>
        <w:tc>
          <w:tcPr>
            <w:tcW w:w="4933"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人均综合用水量指标区间（升/人·日）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128"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中心城区</w:t>
            </w:r>
          </w:p>
        </w:tc>
        <w:tc>
          <w:tcPr>
            <w:tcW w:w="4933"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360~400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128"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主城新区</w:t>
            </w:r>
          </w:p>
        </w:tc>
        <w:tc>
          <w:tcPr>
            <w:tcW w:w="4933"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380~420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128"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渝东南片区</w:t>
            </w:r>
          </w:p>
        </w:tc>
        <w:tc>
          <w:tcPr>
            <w:tcW w:w="4933"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128"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渝东北片区</w:t>
            </w:r>
          </w:p>
        </w:tc>
        <w:tc>
          <w:tcPr>
            <w:tcW w:w="4933" w:type="dxa"/>
            <w:vAlign w:val="top"/>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300~400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根据《重庆市黔江区国民经济和社会发展第十四个五年规划纲要和二〇三五年远景目标》中内容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预测未来2025年中心城区城市人口30万人；未来2035年常住城镇人口50万人。</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通过城市人口综合指标法预测用水量在2025年为9~12万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 d；在2035年为15~20万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 d。</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（三）城市建设用地综合指标法</w:t>
      </w: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 xml:space="preserve">表4-7城市单位建设用地综合用水量指标    </w:t>
      </w:r>
    </w:p>
    <w:p>
      <w:pPr>
        <w:spacing w:line="560" w:lineRule="exact"/>
        <w:ind w:firstLine="0" w:firstLineChars="0"/>
        <w:jc w:val="right"/>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单位：万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b/>
          <w:spacing w:val="-6"/>
          <w:sz w:val="32"/>
          <w:szCs w:val="32"/>
        </w:rPr>
        <w:t>/k</w:t>
      </w:r>
      <w:r>
        <w:rPr>
          <w:rFonts w:hint="default" w:ascii="Times New Roman" w:hAnsi="Times New Roman" w:eastAsia="方正仿宋_GBK" w:cs="Times New Roman"/>
          <w:sz w:val="32"/>
          <w:szCs w:val="32"/>
        </w:rPr>
        <w:t>m</w:t>
      </w:r>
      <w:r>
        <w:rPr>
          <w:rFonts w:hint="default" w:ascii="Times New Roman" w:hAnsi="Times New Roman" w:eastAsia="方正仿宋_GBK" w:cs="Times New Roman"/>
          <w:sz w:val="32"/>
          <w:szCs w:val="32"/>
          <w:vertAlign w:val="superscript"/>
        </w:rPr>
        <w:t>2</w:t>
      </w:r>
      <w:r>
        <w:rPr>
          <w:rFonts w:hint="default" w:ascii="Times New Roman" w:hAnsi="Times New Roman" w:eastAsia="方正仿宋_GBK" w:cs="Times New Roman"/>
          <w:b/>
          <w:spacing w:val="-6"/>
          <w:sz w:val="32"/>
          <w:szCs w:val="32"/>
        </w:rPr>
        <w:t>·d</w:t>
      </w:r>
    </w:p>
    <w:tbl>
      <w:tblPr>
        <w:tblStyle w:val="12"/>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2019"/>
        <w:gridCol w:w="1812"/>
        <w:gridCol w:w="2019"/>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94"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区域</w:t>
            </w:r>
          </w:p>
        </w:tc>
        <w:tc>
          <w:tcPr>
            <w:tcW w:w="7867" w:type="dxa"/>
            <w:gridSpan w:val="4"/>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城     市     规     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94"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特大城市</w:t>
            </w:r>
          </w:p>
        </w:tc>
        <w:tc>
          <w:tcPr>
            <w:tcW w:w="18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大城市</w:t>
            </w: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中等城市</w:t>
            </w:r>
          </w:p>
        </w:tc>
        <w:tc>
          <w:tcPr>
            <w:tcW w:w="2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小城市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一区</w:t>
            </w: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1.0～1.6</w:t>
            </w:r>
          </w:p>
        </w:tc>
        <w:tc>
          <w:tcPr>
            <w:tcW w:w="18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0.8～1.4</w:t>
            </w: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0.6～1.0</w:t>
            </w:r>
          </w:p>
        </w:tc>
        <w:tc>
          <w:tcPr>
            <w:tcW w:w="2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9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二区</w:t>
            </w: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0.8～1.2</w:t>
            </w:r>
          </w:p>
        </w:tc>
        <w:tc>
          <w:tcPr>
            <w:tcW w:w="18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0.6～1.0</w:t>
            </w: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0.4～0.7</w:t>
            </w:r>
          </w:p>
        </w:tc>
        <w:tc>
          <w:tcPr>
            <w:tcW w:w="2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三区</w:t>
            </w: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0.6～1.0</w:t>
            </w:r>
          </w:p>
        </w:tc>
        <w:tc>
          <w:tcPr>
            <w:tcW w:w="181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0.5～0.8</w:t>
            </w:r>
          </w:p>
        </w:tc>
        <w:tc>
          <w:tcPr>
            <w:tcW w:w="201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0.3～0.6</w:t>
            </w:r>
          </w:p>
        </w:tc>
        <w:tc>
          <w:tcPr>
            <w:tcW w:w="2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0.25～0.5</w:t>
            </w:r>
          </w:p>
        </w:tc>
      </w:tr>
    </w:tbl>
    <w:p>
      <w:pPr>
        <w:spacing w:line="560" w:lineRule="exact"/>
        <w:ind w:firstLine="480"/>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szCs w:val="32"/>
        </w:rPr>
        <w:t>注：本表指标已包括管网漏失水量。</w:t>
      </w:r>
    </w:p>
    <w:p>
      <w:pPr>
        <w:spacing w:line="560" w:lineRule="exact"/>
        <w:ind w:firstLine="640"/>
        <w:jc w:val="left"/>
        <w:rPr>
          <w:rFonts w:hint="default" w:ascii="Times New Roman" w:hAnsi="Times New Roman" w:eastAsia="方正仿宋_GBK" w:cs="Times New Roman"/>
          <w:sz w:val="32"/>
          <w:szCs w:val="32"/>
        </w:rPr>
      </w:pPr>
      <w:bookmarkStart w:id="120" w:name="_Toc74734880"/>
      <w:r>
        <w:rPr>
          <w:rFonts w:hint="default" w:ascii="Times New Roman" w:hAnsi="Times New Roman" w:eastAsia="方正仿宋_GBK" w:cs="Times New Roman"/>
          <w:sz w:val="32"/>
          <w:szCs w:val="32"/>
        </w:rPr>
        <w:t>根据《城市给水工程规划规范》GB50282-2016的规定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 其中黔江区属于三区中等城市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参考该指标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本次</w:t>
      </w:r>
      <w:r>
        <w:rPr>
          <w:rFonts w:hint="default" w:ascii="Times New Roman" w:hAnsi="Times New Roman" w:eastAsia="方正仿宋_GBK" w:cs="Times New Roman"/>
          <w:sz w:val="32"/>
          <w:szCs w:val="32"/>
          <w:highlight w:val="none"/>
        </w:rPr>
        <w:t>规划取</w:t>
      </w:r>
      <w:r>
        <w:rPr>
          <w:rFonts w:hint="default" w:ascii="Times New Roman" w:hAnsi="Times New Roman" w:eastAsia="方正仿宋_GBK" w:cs="Times New Roman"/>
          <w:sz w:val="32"/>
          <w:szCs w:val="32"/>
        </w:rPr>
        <w:t>用城市单位用地综合用水量指标范围为0.3~0.6万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highlight w:val="none"/>
        </w:rPr>
        <w:t>km</w:t>
      </w:r>
      <w:r>
        <w:rPr>
          <w:rFonts w:hint="default" w:ascii="Times New Roman" w:hAnsi="Times New Roman" w:eastAsia="方正仿宋_GBK" w:cs="Times New Roman"/>
          <w:sz w:val="32"/>
          <w:szCs w:val="32"/>
          <w:highlight w:val="none"/>
          <w:vertAlign w:val="superscript"/>
        </w:rPr>
        <w:t>2</w:t>
      </w:r>
      <w:r>
        <w:rPr>
          <w:rFonts w:hint="default" w:ascii="Times New Roman" w:hAnsi="Times New Roman" w:eastAsia="方正仿宋_GBK" w:cs="Times New Roman"/>
          <w:sz w:val="32"/>
          <w:szCs w:val="32"/>
        </w:rPr>
        <w:t>.d。</w:t>
      </w:r>
      <w:bookmarkEnd w:id="120"/>
    </w:p>
    <w:p>
      <w:pPr>
        <w:adjustRightInd w:val="0"/>
        <w:snapToGrid w:val="0"/>
        <w:spacing w:line="560" w:lineRule="exact"/>
        <w:ind w:firstLine="640"/>
        <w:rPr>
          <w:rFonts w:hint="default" w:ascii="Times New Roman" w:hAnsi="Times New Roman" w:eastAsia="方正仿宋_GBK" w:cs="Times New Roman"/>
          <w:sz w:val="32"/>
          <w:szCs w:val="32"/>
        </w:rPr>
      </w:pPr>
      <w:bookmarkStart w:id="121" w:name="_Toc74734881"/>
      <w:r>
        <w:rPr>
          <w:rFonts w:hint="default" w:ascii="Times New Roman" w:hAnsi="Times New Roman" w:eastAsia="方正仿宋_GBK" w:cs="Times New Roman"/>
          <w:sz w:val="32"/>
          <w:szCs w:val="32"/>
        </w:rPr>
        <w:t>根据《重庆市黔江区国民经济和社会发展第十四个五年规划纲要和二〇三五年远景目标</w:t>
      </w:r>
      <w:bookmarkStart w:id="359" w:name="_GoBack"/>
      <w:bookmarkEnd w:id="359"/>
      <w:r>
        <w:rPr>
          <w:rFonts w:hint="default" w:ascii="Times New Roman" w:hAnsi="Times New Roman" w:eastAsia="方正仿宋_GBK" w:cs="Times New Roman"/>
          <w:sz w:val="32"/>
          <w:szCs w:val="32"/>
        </w:rPr>
        <w:t>》中预测内容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黔江区在未来2025年城市建设面积达到30平方公里；2035年城市建设面积达到50平方公里。</w:t>
      </w:r>
      <w:bookmarkEnd w:id="121"/>
    </w:p>
    <w:p>
      <w:pPr>
        <w:adjustRightInd w:val="0"/>
        <w:snapToGrid w:val="0"/>
        <w:spacing w:line="560" w:lineRule="exact"/>
        <w:ind w:firstLine="640"/>
        <w:rPr>
          <w:rFonts w:hint="default" w:ascii="Times New Roman" w:hAnsi="Times New Roman" w:eastAsia="方正仿宋_GBK" w:cs="Times New Roman"/>
          <w:sz w:val="32"/>
          <w:szCs w:val="32"/>
        </w:rPr>
      </w:pPr>
      <w:bookmarkStart w:id="122" w:name="_Toc74734882"/>
      <w:r>
        <w:rPr>
          <w:rFonts w:hint="default" w:ascii="Times New Roman" w:hAnsi="Times New Roman" w:eastAsia="方正仿宋_GBK" w:cs="Times New Roman"/>
          <w:sz w:val="32"/>
          <w:szCs w:val="32"/>
        </w:rPr>
        <w:t>通过城市建设用地综合指标法预测用水量在2025年为9~18万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/d；在2035年为15~30万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bookmarkEnd w:id="122"/>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23" w:name="_Toc74734883"/>
      <w:r>
        <w:rPr>
          <w:rFonts w:hint="default" w:ascii="Times New Roman" w:hAnsi="Times New Roman" w:eastAsia="方正楷体_GBK" w:cs="Times New Roman"/>
          <w:sz w:val="32"/>
          <w:szCs w:val="32"/>
        </w:rPr>
        <w:t>（四）规划需水量确定</w:t>
      </w:r>
      <w:bookmarkEnd w:id="117"/>
      <w:bookmarkEnd w:id="118"/>
      <w:bookmarkEnd w:id="123"/>
    </w:p>
    <w:p>
      <w:pPr>
        <w:spacing w:line="560" w:lineRule="exact"/>
        <w:ind w:firstLine="0" w:firstLineChars="0"/>
        <w:jc w:val="center"/>
        <w:rPr>
          <w:rFonts w:hint="default" w:ascii="Times New Roman" w:hAnsi="Times New Roman" w:eastAsia="方正仿宋_GBK" w:cs="Times New Roman"/>
          <w:b/>
          <w:spacing w:val="-6"/>
          <w:sz w:val="32"/>
          <w:szCs w:val="32"/>
          <w:lang w:val="en-US" w:eastAsia="zh-CN"/>
        </w:rPr>
      </w:pPr>
      <w:bookmarkStart w:id="124" w:name="_Toc59975774"/>
      <w:r>
        <w:rPr>
          <w:rFonts w:hint="default" w:ascii="Times New Roman" w:hAnsi="Times New Roman" w:eastAsia="方正仿宋_GBK" w:cs="Times New Roman"/>
          <w:b/>
          <w:spacing w:val="-6"/>
          <w:sz w:val="32"/>
          <w:szCs w:val="32"/>
        </w:rPr>
        <w:t>表4-8规划需水量预测值比较表</w:t>
      </w:r>
      <w:r>
        <w:rPr>
          <w:rFonts w:hint="default" w:ascii="Times New Roman" w:hAnsi="Times New Roman" w:eastAsia="方正仿宋_GBK" w:cs="Times New Roman"/>
          <w:b/>
          <w:spacing w:val="-6"/>
          <w:sz w:val="32"/>
          <w:szCs w:val="32"/>
          <w:lang w:val="en-US" w:eastAsia="zh-CN"/>
        </w:rPr>
        <w:t xml:space="preserve">     单位：万</w:t>
      </w:r>
      <w:r>
        <w:rPr>
          <w:rFonts w:hint="default" w:ascii="Times New Roman" w:hAnsi="Times New Roman" w:eastAsia="方正仿宋_GBK" w:cs="Times New Roman"/>
          <w:b/>
          <w:spacing w:val="-6"/>
          <w:sz w:val="32"/>
          <w:szCs w:val="32"/>
          <w:highlight w:val="none"/>
          <w:lang w:val="en-US" w:eastAsia="zh-CN"/>
        </w:rPr>
        <w:t>m3</w:t>
      </w:r>
      <w:r>
        <w:rPr>
          <w:rFonts w:hint="default" w:ascii="Times New Roman" w:hAnsi="Times New Roman" w:eastAsia="方正仿宋_GBK" w:cs="Times New Roman"/>
          <w:b/>
          <w:spacing w:val="-6"/>
          <w:sz w:val="32"/>
          <w:szCs w:val="32"/>
          <w:lang w:val="en-US" w:eastAsia="zh-CN"/>
        </w:rPr>
        <w:t>/d</w:t>
      </w:r>
    </w:p>
    <w:tbl>
      <w:tblPr>
        <w:tblStyle w:val="12"/>
        <w:tblW w:w="91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8"/>
        <w:gridCol w:w="3167"/>
        <w:gridCol w:w="2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098"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31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2025年预测需水量</w:t>
            </w:r>
          </w:p>
        </w:tc>
        <w:tc>
          <w:tcPr>
            <w:tcW w:w="289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2035年预测需水量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98"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趋势外推法</w:t>
            </w:r>
          </w:p>
        </w:tc>
        <w:tc>
          <w:tcPr>
            <w:tcW w:w="31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10.87</w:t>
            </w:r>
          </w:p>
        </w:tc>
        <w:tc>
          <w:tcPr>
            <w:tcW w:w="289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98"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单位人口综合指标法</w:t>
            </w:r>
          </w:p>
        </w:tc>
        <w:tc>
          <w:tcPr>
            <w:tcW w:w="31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9~12</w:t>
            </w:r>
          </w:p>
        </w:tc>
        <w:tc>
          <w:tcPr>
            <w:tcW w:w="289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98"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单位建设用地指标法</w:t>
            </w:r>
          </w:p>
        </w:tc>
        <w:tc>
          <w:tcPr>
            <w:tcW w:w="316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9~18</w:t>
            </w:r>
          </w:p>
        </w:tc>
        <w:tc>
          <w:tcPr>
            <w:tcW w:w="2896"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15~30</w:t>
            </w:r>
          </w:p>
        </w:tc>
      </w:tr>
    </w:tbl>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根据计算结果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采用趋势外推法利用实际供水量推测出的需要量预测值</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满足单位人口综合指标法及单位建设用地指标法计算出来的需水量区间值</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所以综合考虑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利用供水量变化趋势计算出的需水量预测值基本合理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本次规划需水量预测值取用2025年为11万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2035年为19万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25" w:name="_Toc30377"/>
      <w:bookmarkStart w:id="126" w:name="_Toc74734887"/>
      <w:r>
        <w:rPr>
          <w:rFonts w:hint="default" w:ascii="Times New Roman" w:hAnsi="Times New Roman" w:eastAsia="方正楷体_GBK" w:cs="Times New Roman"/>
          <w:sz w:val="32"/>
          <w:szCs w:val="32"/>
        </w:rPr>
        <w:t>（五）供水能力分析</w:t>
      </w:r>
      <w:bookmarkEnd w:id="124"/>
      <w:bookmarkEnd w:id="125"/>
      <w:bookmarkEnd w:id="126"/>
    </w:p>
    <w:p>
      <w:pPr>
        <w:adjustRightInd w:val="0"/>
        <w:snapToGrid w:val="0"/>
        <w:spacing w:line="560" w:lineRule="exact"/>
        <w:ind w:firstLine="640"/>
        <w:rPr>
          <w:rFonts w:hint="default" w:ascii="Times New Roman" w:hAnsi="Times New Roman" w:eastAsia="方正仿宋_GBK" w:cs="Times New Roman"/>
          <w:b/>
          <w:spacing w:val="-6"/>
          <w:sz w:val="32"/>
          <w:szCs w:val="32"/>
          <w:lang w:val="en-US" w:eastAsia="zh-CN"/>
        </w:rPr>
      </w:pPr>
      <w:r>
        <w:rPr>
          <w:rFonts w:hint="default" w:ascii="Times New Roman" w:hAnsi="Times New Roman" w:eastAsia="方正仿宋_GBK" w:cs="Times New Roman"/>
          <w:sz w:val="32"/>
          <w:szCs w:val="32"/>
        </w:rPr>
        <w:t>供水能力分析详见下表：</w:t>
      </w:r>
      <w:r>
        <w:rPr>
          <w:rFonts w:hint="default" w:ascii="Times New Roman" w:hAnsi="Times New Roman" w:eastAsia="方正仿宋_GBK" w:cs="Times New Roman"/>
          <w:b/>
          <w:spacing w:val="-6"/>
          <w:sz w:val="32"/>
          <w:szCs w:val="32"/>
          <w:lang w:val="en-US" w:eastAsia="zh-CN"/>
        </w:rPr>
        <w:t xml:space="preserve">     </w:t>
      </w:r>
    </w:p>
    <w:p>
      <w:pPr>
        <w:spacing w:line="560" w:lineRule="exact"/>
        <w:ind w:firstLine="0" w:firstLineChars="0"/>
        <w:jc w:val="center"/>
        <w:rPr>
          <w:rFonts w:hint="default" w:ascii="Times New Roman" w:hAnsi="Times New Roman" w:eastAsia="方正仿宋_GBK" w:cs="Times New Roman"/>
          <w:b/>
          <w:spacing w:val="-6"/>
          <w:sz w:val="32"/>
          <w:szCs w:val="32"/>
          <w:lang w:val="en-US" w:eastAsia="zh-CN"/>
        </w:rPr>
      </w:pPr>
      <w:r>
        <w:rPr>
          <w:rFonts w:hint="default" w:ascii="Times New Roman" w:hAnsi="Times New Roman" w:eastAsia="方正仿宋_GBK" w:cs="Times New Roman"/>
          <w:b/>
          <w:spacing w:val="-6"/>
          <w:sz w:val="32"/>
          <w:szCs w:val="32"/>
        </w:rPr>
        <w:t>表4-9  现状供水能力分析表</w:t>
      </w:r>
      <w:r>
        <w:rPr>
          <w:rFonts w:hint="default" w:ascii="Times New Roman" w:hAnsi="Times New Roman" w:eastAsia="方正仿宋_GBK" w:cs="Times New Roman"/>
          <w:b/>
          <w:spacing w:val="-6"/>
          <w:sz w:val="32"/>
          <w:szCs w:val="32"/>
          <w:lang w:val="en-US" w:eastAsia="zh-CN"/>
        </w:rPr>
        <w:t xml:space="preserve">      单位：</w:t>
      </w:r>
      <w:r>
        <w:rPr>
          <w:rFonts w:hint="default" w:ascii="Times New Roman" w:hAnsi="Times New Roman" w:eastAsia="方正仿宋_GBK" w:cs="Times New Roman"/>
          <w:szCs w:val="28"/>
        </w:rPr>
        <w:t>万</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r>
        <w:rPr>
          <w:rFonts w:hint="default" w:ascii="Times New Roman" w:hAnsi="Times New Roman" w:eastAsia="方正仿宋_GBK" w:cs="Times New Roman"/>
          <w:szCs w:val="28"/>
        </w:rPr>
        <w:t>/d</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900"/>
        <w:gridCol w:w="2100"/>
        <w:gridCol w:w="1234"/>
        <w:gridCol w:w="1133"/>
        <w:gridCol w:w="1083"/>
        <w:gridCol w:w="1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水厂</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现状规模</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服务范围</w:t>
            </w: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2025年规划需水量</w:t>
            </w:r>
          </w:p>
        </w:tc>
        <w:tc>
          <w:tcPr>
            <w:tcW w:w="113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供水能力分析（+/-）</w:t>
            </w:r>
          </w:p>
        </w:tc>
        <w:tc>
          <w:tcPr>
            <w:tcW w:w="108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2035年展望需水量</w:t>
            </w:r>
          </w:p>
        </w:tc>
        <w:tc>
          <w:tcPr>
            <w:tcW w:w="126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供水能力分析（+/-）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白家湾水厂、三元宫水厂、正阳水厂</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8</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老城片区、正阳片区、冯家片区、青杠片区</w:t>
            </w:r>
          </w:p>
        </w:tc>
        <w:tc>
          <w:tcPr>
            <w:tcW w:w="1234" w:type="dxa"/>
            <w:vMerge w:val="restart"/>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11</w:t>
            </w:r>
          </w:p>
        </w:tc>
        <w:tc>
          <w:tcPr>
            <w:tcW w:w="113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-1.4</w:t>
            </w:r>
          </w:p>
        </w:tc>
        <w:tc>
          <w:tcPr>
            <w:tcW w:w="1083" w:type="dxa"/>
            <w:vMerge w:val="restart"/>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19</w:t>
            </w:r>
          </w:p>
        </w:tc>
        <w:tc>
          <w:tcPr>
            <w:tcW w:w="1263" w:type="dxa"/>
            <w:vMerge w:val="restart"/>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舟白水厂</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舟白片区</w:t>
            </w:r>
          </w:p>
        </w:tc>
        <w:tc>
          <w:tcPr>
            <w:tcW w:w="1234" w:type="dxa"/>
            <w:vMerge w:val="continue"/>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113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0.53</w:t>
            </w:r>
          </w:p>
        </w:tc>
        <w:tc>
          <w:tcPr>
            <w:tcW w:w="1083" w:type="dxa"/>
            <w:vMerge w:val="continue"/>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c>
          <w:tcPr>
            <w:tcW w:w="1263" w:type="dxa"/>
            <w:vMerge w:val="continue"/>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麻田坝水厂</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0.1</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蓬东片区</w:t>
            </w: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0.1</w:t>
            </w:r>
          </w:p>
        </w:tc>
        <w:tc>
          <w:tcPr>
            <w:tcW w:w="113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083" w:type="dxa"/>
            <w:vMerge w:val="continue"/>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1263" w:type="dxa"/>
            <w:vMerge w:val="continue"/>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10.1</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1234"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11.1</w:t>
            </w:r>
          </w:p>
        </w:tc>
        <w:tc>
          <w:tcPr>
            <w:tcW w:w="113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-0.97</w:t>
            </w:r>
          </w:p>
        </w:tc>
        <w:tc>
          <w:tcPr>
            <w:tcW w:w="1083" w:type="dxa"/>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19</w:t>
            </w:r>
          </w:p>
        </w:tc>
        <w:tc>
          <w:tcPr>
            <w:tcW w:w="1263" w:type="dxa"/>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-9.0</w:t>
            </w:r>
          </w:p>
        </w:tc>
      </w:tr>
    </w:tbl>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黔江区城市区域供水互联互通现状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白家湾水厂与三元宫水厂联网向老城片区供水；正阳水厂是正阳、冯家、青杠片区的次供水厂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通过供水管道与老城管道联网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可以实行城市四片区3座水厂联网供水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互为补充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供水能力达到8万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/d。根据表4-8中2025年规划需水量来看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老城、正阳、冯家、青杠片区现有供水能力无法满足2025年规划需水量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需要在2020-2025年通过工程措施提升供水能力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且展望2035年供水能力与需水量差距较大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远期需要建设或改扩建一批供水工程以提高供水能力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保障未来</w:t>
      </w:r>
      <w:r>
        <w:rPr>
          <w:rFonts w:hint="default" w:ascii="Times New Roman" w:hAnsi="Times New Roman" w:eastAsia="方正仿宋_GBK" w:cs="Times New Roman"/>
          <w:sz w:val="32"/>
          <w:szCs w:val="32"/>
          <w:lang w:eastAsia="zh-CN"/>
        </w:rPr>
        <w:t>用水需求</w:t>
      </w:r>
      <w:r>
        <w:rPr>
          <w:rFonts w:hint="default" w:ascii="Times New Roman" w:hAnsi="Times New Roman" w:eastAsia="方正仿宋_GBK" w:cs="Times New Roman"/>
          <w:sz w:val="32"/>
          <w:szCs w:val="32"/>
        </w:rPr>
        <w:t>。</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舟白片区现有供水能力为2万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高于2025年规划需水量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近期2025年不用考虑新建供水工程。展望2035年需水量达到2.75万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需要在2025-2035年采取工程措施提高供水能力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保障未来</w:t>
      </w:r>
      <w:r>
        <w:rPr>
          <w:rFonts w:hint="default" w:ascii="Times New Roman" w:hAnsi="Times New Roman" w:eastAsia="方正仿宋_GBK" w:cs="Times New Roman"/>
          <w:sz w:val="32"/>
          <w:szCs w:val="32"/>
          <w:lang w:eastAsia="zh-CN"/>
        </w:rPr>
        <w:t>用水需求</w:t>
      </w:r>
      <w:r>
        <w:rPr>
          <w:rFonts w:hint="default" w:ascii="Times New Roman" w:hAnsi="Times New Roman" w:eastAsia="方正仿宋_GBK" w:cs="Times New Roman"/>
          <w:sz w:val="32"/>
          <w:szCs w:val="32"/>
        </w:rPr>
        <w:t>。</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蓬东乡现有麻田坝水厂供水能力为0.1万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能够满足现状需水量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但因为未来蓬东乡部分区域将纳入中心城区建设范围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纳入区域紧邻正阳片区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按中心城区用水标准预测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需水量已经远超出麻田坝现状供水能力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为满足标准化智慧化城市供水要求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考虑通过城区供水管网延伸将纳入中心城区的蓬东片区供水由正阳水厂作为主要供水来源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现状的麻田坝水厂仍作为蓬东乡镇供水来源。</w:t>
      </w:r>
    </w:p>
    <w:p>
      <w:pPr>
        <w:pStyle w:val="4"/>
        <w:spacing w:before="0" w:after="0" w:line="560" w:lineRule="exact"/>
        <w:ind w:left="0" w:firstLine="880" w:firstLineChars="200"/>
        <w:rPr>
          <w:rFonts w:hint="default" w:ascii="Times New Roman" w:hAnsi="Times New Roman" w:cs="Times New Roman"/>
          <w:b/>
          <w:bCs/>
          <w:sz w:val="32"/>
          <w:szCs w:val="32"/>
        </w:rPr>
      </w:pPr>
      <w:bookmarkStart w:id="127" w:name="_Toc19920"/>
      <w:bookmarkStart w:id="128" w:name="_Toc59975775"/>
      <w:bookmarkStart w:id="129" w:name="_Toc21087"/>
      <w:bookmarkStart w:id="130" w:name="_Toc74734935"/>
      <w:r>
        <w:rPr>
          <w:rFonts w:hint="default" w:ascii="Times New Roman" w:hAnsi="Times New Roman" w:eastAsia="方正小标宋_GBK" w:cs="Times New Roman"/>
          <w:b w:val="0"/>
          <w:bCs w:val="0"/>
          <w:sz w:val="44"/>
          <w:szCs w:val="44"/>
        </w:rPr>
        <w:t>第五章 城市供水水源</w:t>
      </w:r>
      <w:bookmarkEnd w:id="127"/>
      <w:bookmarkEnd w:id="128"/>
      <w:bookmarkEnd w:id="129"/>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131" w:name="_Toc30561"/>
      <w:bookmarkStart w:id="132" w:name="_Toc20387"/>
      <w:bookmarkStart w:id="133" w:name="_Toc59975776"/>
      <w:r>
        <w:rPr>
          <w:rFonts w:hint="default" w:ascii="Times New Roman" w:hAnsi="Times New Roman" w:eastAsia="方正黑体_GBK" w:cs="Times New Roman"/>
          <w:b w:val="0"/>
          <w:bCs/>
          <w:kern w:val="2"/>
          <w:sz w:val="32"/>
          <w:szCs w:val="32"/>
        </w:rPr>
        <w:t>一、现状水源</w:t>
      </w:r>
      <w:bookmarkEnd w:id="131"/>
      <w:bookmarkEnd w:id="132"/>
      <w:bookmarkEnd w:id="133"/>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黔江区内主要河流有阿蓬江及其支流黔江河、郁江支流和诸佛江支流；全区的中小型水库主要有小南海水库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洞塘水库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城北水库、太极水库以及正在建设的瓦窑堡水库。</w:t>
      </w:r>
      <w:bookmarkStart w:id="134" w:name="_Toc13190_WPSOffice_Level3"/>
    </w:p>
    <w:p>
      <w:pPr>
        <w:pStyle w:val="18"/>
        <w:spacing w:line="560" w:lineRule="exact"/>
        <w:ind w:firstLine="640"/>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lang w:eastAsia="zh-CN"/>
        </w:rPr>
        <w:t>（一）</w:t>
      </w:r>
      <w:r>
        <w:rPr>
          <w:rFonts w:hint="default" w:ascii="Times New Roman" w:hAnsi="Times New Roman" w:eastAsia="方正楷体_GBK" w:cs="Times New Roman"/>
          <w:b w:val="0"/>
          <w:bCs w:val="0"/>
          <w:sz w:val="32"/>
          <w:szCs w:val="32"/>
        </w:rPr>
        <w:t>阿蓬江</w:t>
      </w:r>
      <w:bookmarkEnd w:id="134"/>
    </w:p>
    <w:p>
      <w:pPr>
        <w:pStyle w:val="18"/>
        <w:spacing w:line="560" w:lineRule="exact"/>
        <w:ind w:firstLine="64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阿蓬江</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发源于湖北利川县境</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流经区境约90km</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流域面积1583</w:t>
      </w:r>
      <w:r>
        <w:rPr>
          <w:rFonts w:hint="default" w:ascii="Times New Roman" w:hAnsi="Times New Roman" w:eastAsia="方正仿宋_GBK" w:cs="Times New Roman"/>
          <w:b w:val="0"/>
          <w:bCs w:val="0"/>
          <w:sz w:val="32"/>
          <w:szCs w:val="32"/>
          <w:highlight w:val="none"/>
        </w:rPr>
        <w:t>km</w:t>
      </w:r>
      <w:r>
        <w:rPr>
          <w:rFonts w:hint="default" w:ascii="Times New Roman" w:hAnsi="Times New Roman" w:eastAsia="方正仿宋_GBK" w:cs="Times New Roman"/>
          <w:b w:val="0"/>
          <w:bCs w:val="0"/>
          <w:sz w:val="32"/>
          <w:szCs w:val="32"/>
          <w:highlight w:val="none"/>
          <w:vertAlign w:val="superscript"/>
        </w:rPr>
        <w:t>2</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占全区</w:t>
      </w:r>
      <w:r>
        <w:rPr>
          <w:rFonts w:hint="eastAsia" w:eastAsia="方正仿宋_GBK" w:cs="Times New Roman"/>
          <w:b w:val="0"/>
          <w:bCs w:val="0"/>
          <w:sz w:val="32"/>
          <w:szCs w:val="32"/>
          <w:lang w:eastAsia="zh-CN"/>
        </w:rPr>
        <w:t>辖区</w:t>
      </w:r>
      <w:r>
        <w:rPr>
          <w:rFonts w:hint="default" w:ascii="Times New Roman" w:hAnsi="Times New Roman" w:eastAsia="方正仿宋_GBK" w:cs="Times New Roman"/>
          <w:b w:val="0"/>
          <w:bCs w:val="0"/>
          <w:sz w:val="32"/>
          <w:szCs w:val="32"/>
          <w:highlight w:val="none"/>
        </w:rPr>
        <w:t>面积</w:t>
      </w:r>
      <w:r>
        <w:rPr>
          <w:rFonts w:hint="default" w:ascii="Times New Roman" w:hAnsi="Times New Roman" w:eastAsia="方正仿宋_GBK" w:cs="Times New Roman"/>
          <w:b w:val="0"/>
          <w:bCs w:val="0"/>
          <w:sz w:val="32"/>
          <w:szCs w:val="32"/>
        </w:rPr>
        <w:t>的60%。</w:t>
      </w:r>
    </w:p>
    <w:p>
      <w:pPr>
        <w:pStyle w:val="18"/>
        <w:spacing w:line="560" w:lineRule="exact"/>
        <w:ind w:firstLine="640"/>
        <w:rPr>
          <w:rFonts w:hint="default" w:ascii="Times New Roman" w:hAnsi="Times New Roman" w:eastAsia="方正楷体_GBK" w:cs="Times New Roman"/>
          <w:b w:val="0"/>
          <w:bCs w:val="0"/>
          <w:sz w:val="32"/>
          <w:szCs w:val="32"/>
          <w:lang w:eastAsia="zh-CN"/>
        </w:rPr>
      </w:pPr>
      <w:bookmarkStart w:id="135" w:name="_Toc1351_WPSOffice_Level3"/>
      <w:r>
        <w:rPr>
          <w:rFonts w:hint="default" w:ascii="Times New Roman" w:hAnsi="Times New Roman" w:eastAsia="方正楷体_GBK" w:cs="Times New Roman"/>
          <w:b w:val="0"/>
          <w:bCs w:val="0"/>
          <w:sz w:val="32"/>
          <w:szCs w:val="32"/>
          <w:lang w:eastAsia="zh-CN"/>
        </w:rPr>
        <w:t>（二）黔江河</w:t>
      </w:r>
      <w:bookmarkEnd w:id="135"/>
    </w:p>
    <w:p>
      <w:pPr>
        <w:pStyle w:val="18"/>
        <w:spacing w:line="560" w:lineRule="exact"/>
        <w:ind w:firstLine="64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黔江河</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源出八面山麓的册山乡山王庙</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流经县城上沙坝</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合大木溪水</w:t>
      </w:r>
      <w:r>
        <w:rPr>
          <w:rFonts w:hint="default" w:ascii="Times New Roman" w:hAnsi="Times New Roman" w:eastAsia="方正仿宋_GBK" w:cs="Times New Roman"/>
          <w:b w:val="0"/>
          <w:bCs w:val="0"/>
          <w:sz w:val="32"/>
          <w:szCs w:val="32"/>
          <w:highlight w:val="none"/>
          <w:lang w:eastAsia="zh-CN"/>
        </w:rPr>
        <w:t>，</w:t>
      </w:r>
      <w:r>
        <w:rPr>
          <w:rFonts w:hint="default" w:ascii="Times New Roman" w:hAnsi="Times New Roman" w:eastAsia="方正仿宋_GBK" w:cs="Times New Roman"/>
          <w:b w:val="0"/>
          <w:bCs w:val="0"/>
          <w:sz w:val="32"/>
          <w:szCs w:val="32"/>
          <w:highlight w:val="none"/>
        </w:rPr>
        <w:t>至舟</w:t>
      </w:r>
      <w:r>
        <w:rPr>
          <w:rFonts w:hint="default" w:ascii="Times New Roman" w:hAnsi="Times New Roman" w:eastAsia="方正仿宋_GBK" w:cs="Times New Roman"/>
          <w:b w:val="0"/>
          <w:bCs w:val="0"/>
          <w:sz w:val="32"/>
          <w:szCs w:val="32"/>
        </w:rPr>
        <w:t>白入阿篷江。流域面积167</w:t>
      </w:r>
      <w:r>
        <w:rPr>
          <w:rFonts w:hint="default" w:ascii="Times New Roman" w:hAnsi="Times New Roman" w:eastAsia="方正仿宋_GBK" w:cs="Times New Roman"/>
          <w:b w:val="0"/>
          <w:bCs w:val="0"/>
          <w:sz w:val="32"/>
          <w:szCs w:val="32"/>
          <w:highlight w:val="none"/>
          <w:lang w:eastAsia="zh-CN"/>
        </w:rPr>
        <w:t>km</w:t>
      </w:r>
      <w:r>
        <w:rPr>
          <w:rFonts w:hint="default" w:ascii="Times New Roman" w:hAnsi="Times New Roman" w:eastAsia="方正仿宋_GBK" w:cs="Times New Roman"/>
          <w:b w:val="0"/>
          <w:bCs w:val="0"/>
          <w:sz w:val="32"/>
          <w:szCs w:val="32"/>
          <w:highlight w:val="none"/>
          <w:vertAlign w:val="superscript"/>
        </w:rPr>
        <w:t>2</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 xml:space="preserve">主河道长25 </w:t>
      </w:r>
      <w:r>
        <w:rPr>
          <w:rFonts w:hint="default" w:ascii="Times New Roman" w:hAnsi="Times New Roman" w:eastAsia="方正仿宋_GBK" w:cs="Times New Roman"/>
          <w:b w:val="0"/>
          <w:bCs w:val="0"/>
          <w:sz w:val="32"/>
          <w:szCs w:val="32"/>
          <w:highlight w:val="none"/>
          <w:lang w:eastAsia="zh-CN"/>
        </w:rPr>
        <w:t>km</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落差253m</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平均流量3.40</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/s。</w:t>
      </w:r>
      <w:bookmarkStart w:id="136" w:name="_Toc13302_WPSOffice_Level3"/>
    </w:p>
    <w:p>
      <w:pPr>
        <w:pStyle w:val="18"/>
        <w:spacing w:line="560" w:lineRule="exact"/>
        <w:ind w:firstLine="640"/>
        <w:rPr>
          <w:rFonts w:hint="default" w:ascii="Times New Roman" w:hAnsi="Times New Roman" w:eastAsia="方正楷体_GBK" w:cs="Times New Roman"/>
          <w:b w:val="0"/>
          <w:bCs w:val="0"/>
          <w:sz w:val="32"/>
          <w:szCs w:val="32"/>
          <w:lang w:eastAsia="zh-CN"/>
        </w:rPr>
      </w:pPr>
      <w:r>
        <w:rPr>
          <w:rFonts w:hint="default" w:ascii="Times New Roman" w:hAnsi="Times New Roman" w:eastAsia="方正楷体_GBK" w:cs="Times New Roman"/>
          <w:b w:val="0"/>
          <w:bCs w:val="0"/>
          <w:sz w:val="32"/>
          <w:szCs w:val="32"/>
          <w:lang w:eastAsia="zh-CN"/>
        </w:rPr>
        <w:t>（三）小南海水库</w:t>
      </w:r>
      <w:bookmarkEnd w:id="136"/>
    </w:p>
    <w:p>
      <w:pPr>
        <w:pStyle w:val="18"/>
        <w:spacing w:line="560" w:lineRule="exact"/>
        <w:ind w:firstLine="64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小南海水库地处渝鄂交界之地</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距黔江城32</w:t>
      </w:r>
      <w:r>
        <w:rPr>
          <w:rFonts w:hint="default" w:ascii="Times New Roman" w:hAnsi="Times New Roman" w:eastAsia="方正仿宋_GBK" w:cs="Times New Roman"/>
          <w:b w:val="0"/>
          <w:bCs w:val="0"/>
          <w:sz w:val="32"/>
          <w:szCs w:val="32"/>
          <w:highlight w:val="none"/>
          <w:lang w:eastAsia="zh-CN"/>
        </w:rPr>
        <w:t>km</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水库总库容8080万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 xml:space="preserve">。多年平均径流量2.08 </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/s；多年平均径流总量6560万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w:t>
      </w:r>
    </w:p>
    <w:p>
      <w:pPr>
        <w:pStyle w:val="18"/>
        <w:spacing w:line="560" w:lineRule="exact"/>
        <w:ind w:firstLine="640"/>
        <w:rPr>
          <w:rFonts w:hint="default" w:ascii="Times New Roman" w:hAnsi="Times New Roman" w:eastAsia="方正楷体_GBK" w:cs="Times New Roman"/>
          <w:b w:val="0"/>
          <w:bCs w:val="0"/>
          <w:sz w:val="32"/>
          <w:szCs w:val="32"/>
          <w:lang w:eastAsia="zh-CN"/>
        </w:rPr>
      </w:pPr>
      <w:bookmarkStart w:id="137" w:name="_Toc21765_WPSOffice_Level3"/>
      <w:r>
        <w:rPr>
          <w:rFonts w:hint="default" w:ascii="Times New Roman" w:hAnsi="Times New Roman" w:eastAsia="方正楷体_GBK" w:cs="Times New Roman"/>
          <w:b w:val="0"/>
          <w:bCs w:val="0"/>
          <w:sz w:val="32"/>
          <w:szCs w:val="32"/>
          <w:lang w:eastAsia="zh-CN"/>
        </w:rPr>
        <w:t>（四）洞塘水库</w:t>
      </w:r>
      <w:bookmarkEnd w:id="137"/>
    </w:p>
    <w:p>
      <w:pPr>
        <w:pStyle w:val="18"/>
        <w:spacing w:line="560" w:lineRule="exact"/>
        <w:ind w:firstLine="64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洞塘水库位于黔江区城西街道洞塘内。总库容1210万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年可供水量为1548万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w:t>
      </w:r>
      <w:bookmarkStart w:id="138" w:name="_Toc24500_WPSOffice_Level3"/>
    </w:p>
    <w:p>
      <w:pPr>
        <w:pStyle w:val="18"/>
        <w:spacing w:line="560" w:lineRule="exact"/>
        <w:ind w:firstLine="640"/>
        <w:rPr>
          <w:rFonts w:hint="default" w:ascii="Times New Roman" w:hAnsi="Times New Roman" w:eastAsia="方正楷体_GBK" w:cs="Times New Roman"/>
          <w:b w:val="0"/>
          <w:bCs w:val="0"/>
          <w:sz w:val="32"/>
          <w:szCs w:val="32"/>
          <w:lang w:eastAsia="zh-CN"/>
        </w:rPr>
      </w:pPr>
      <w:r>
        <w:rPr>
          <w:rFonts w:hint="default" w:ascii="Times New Roman" w:hAnsi="Times New Roman" w:eastAsia="方正楷体_GBK" w:cs="Times New Roman"/>
          <w:b w:val="0"/>
          <w:bCs w:val="0"/>
          <w:sz w:val="32"/>
          <w:szCs w:val="32"/>
          <w:lang w:eastAsia="zh-CN"/>
        </w:rPr>
        <w:t>（五）城北水库</w:t>
      </w:r>
      <w:bookmarkEnd w:id="138"/>
    </w:p>
    <w:p>
      <w:pPr>
        <w:pStyle w:val="18"/>
        <w:spacing w:line="560" w:lineRule="exact"/>
        <w:ind w:firstLine="64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城北水库</w:t>
      </w:r>
      <w:r>
        <w:rPr>
          <w:rFonts w:hint="default" w:ascii="Times New Roman" w:hAnsi="Times New Roman" w:eastAsia="方正仿宋_GBK" w:cs="Times New Roman"/>
          <w:b w:val="0"/>
          <w:bCs w:val="0"/>
          <w:sz w:val="32"/>
          <w:szCs w:val="32"/>
          <w:lang w:eastAsia="zh-CN"/>
        </w:rPr>
        <w:t>位</w:t>
      </w:r>
      <w:r>
        <w:rPr>
          <w:rFonts w:hint="default" w:ascii="Times New Roman" w:hAnsi="Times New Roman" w:eastAsia="方正仿宋_GBK" w:cs="Times New Roman"/>
          <w:b w:val="0"/>
          <w:bCs w:val="0"/>
          <w:sz w:val="32"/>
          <w:szCs w:val="32"/>
        </w:rPr>
        <w:t>于距黔江城区3.5</w:t>
      </w:r>
      <w:r>
        <w:rPr>
          <w:rFonts w:hint="default" w:ascii="Times New Roman" w:hAnsi="Times New Roman" w:eastAsia="方正仿宋_GBK" w:cs="Times New Roman"/>
          <w:b w:val="0"/>
          <w:bCs w:val="0"/>
          <w:sz w:val="32"/>
          <w:szCs w:val="32"/>
          <w:highlight w:val="none"/>
          <w:lang w:eastAsia="zh-CN"/>
        </w:rPr>
        <w:t>km</w:t>
      </w:r>
      <w:r>
        <w:rPr>
          <w:rFonts w:hint="default" w:ascii="Times New Roman" w:hAnsi="Times New Roman" w:eastAsia="方正仿宋_GBK" w:cs="Times New Roman"/>
          <w:b w:val="0"/>
          <w:bCs w:val="0"/>
          <w:sz w:val="32"/>
          <w:szCs w:val="32"/>
        </w:rPr>
        <w:t>的城东街道办事处高涧居委</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总库容674万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。目前每年供水量约400-500万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w:t>
      </w:r>
      <w:bookmarkStart w:id="139" w:name="_Toc19521_WPSOffice_Level3"/>
      <w:bookmarkStart w:id="140" w:name="_Toc22145_WPSOffice_Level3"/>
    </w:p>
    <w:p>
      <w:pPr>
        <w:pStyle w:val="18"/>
        <w:spacing w:line="560" w:lineRule="exact"/>
        <w:ind w:firstLine="640"/>
        <w:rPr>
          <w:rFonts w:hint="default" w:ascii="Times New Roman" w:hAnsi="Times New Roman" w:eastAsia="方正楷体_GBK" w:cs="Times New Roman"/>
          <w:b w:val="0"/>
          <w:bCs w:val="0"/>
          <w:sz w:val="32"/>
          <w:szCs w:val="32"/>
          <w:lang w:eastAsia="zh-CN"/>
        </w:rPr>
      </w:pPr>
      <w:r>
        <w:rPr>
          <w:rFonts w:hint="default" w:ascii="Times New Roman" w:hAnsi="Times New Roman" w:eastAsia="方正楷体_GBK" w:cs="Times New Roman"/>
          <w:b w:val="0"/>
          <w:bCs w:val="0"/>
          <w:sz w:val="32"/>
          <w:szCs w:val="32"/>
          <w:lang w:eastAsia="zh-CN"/>
        </w:rPr>
        <w:t>（六）太极水库</w:t>
      </w:r>
      <w:bookmarkEnd w:id="139"/>
    </w:p>
    <w:p>
      <w:pPr>
        <w:pStyle w:val="18"/>
        <w:spacing w:line="560" w:lineRule="exact"/>
        <w:ind w:firstLine="64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太极水库是黔江区2017年建成的又一座中型水库。水库总库容3170万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兴利调节库容2836万</w:t>
      </w:r>
      <w:r>
        <w:rPr>
          <w:rFonts w:hint="default" w:ascii="Times New Roman" w:hAnsi="Times New Roman" w:eastAsia="方正仿宋_GBK" w:cs="Times New Roman"/>
          <w:b w:val="0"/>
          <w:bCs w:val="0"/>
          <w:sz w:val="32"/>
          <w:szCs w:val="32"/>
          <w:highlight w:val="none"/>
        </w:rPr>
        <w:t>m</w:t>
      </w:r>
      <w:r>
        <w:rPr>
          <w:rFonts w:hint="default" w:ascii="Times New Roman" w:hAnsi="Times New Roman" w:eastAsia="方正仿宋_GBK" w:cs="Times New Roman"/>
          <w:b w:val="0"/>
          <w:bCs w:val="0"/>
          <w:sz w:val="32"/>
          <w:szCs w:val="32"/>
          <w:highlight w:val="none"/>
          <w:vertAlign w:val="superscript"/>
        </w:rPr>
        <w:t>3</w:t>
      </w:r>
      <w:r>
        <w:rPr>
          <w:rFonts w:hint="default" w:ascii="Times New Roman" w:hAnsi="Times New Roman" w:eastAsia="方正仿宋_GBK" w:cs="Times New Roman"/>
          <w:b w:val="0"/>
          <w:bCs w:val="0"/>
          <w:sz w:val="32"/>
          <w:szCs w:val="32"/>
        </w:rPr>
        <w:t>。</w:t>
      </w:r>
    </w:p>
    <w:p>
      <w:pPr>
        <w:pStyle w:val="18"/>
        <w:spacing w:line="560" w:lineRule="exact"/>
        <w:ind w:firstLine="640"/>
        <w:rPr>
          <w:rFonts w:hint="default" w:ascii="Times New Roman" w:hAnsi="Times New Roman" w:eastAsia="方正楷体_GBK" w:cs="Times New Roman"/>
          <w:b w:val="0"/>
          <w:bCs w:val="0"/>
          <w:sz w:val="32"/>
          <w:szCs w:val="32"/>
          <w:lang w:eastAsia="zh-CN"/>
        </w:rPr>
      </w:pPr>
      <w:r>
        <w:rPr>
          <w:rFonts w:hint="default" w:ascii="Times New Roman" w:hAnsi="Times New Roman" w:eastAsia="方正楷体_GBK" w:cs="Times New Roman"/>
          <w:b w:val="0"/>
          <w:bCs w:val="0"/>
          <w:sz w:val="32"/>
          <w:szCs w:val="32"/>
          <w:lang w:eastAsia="zh-CN"/>
        </w:rPr>
        <w:t>（七）瓦窑堡水库</w:t>
      </w:r>
      <w:bookmarkEnd w:id="140"/>
      <w:r>
        <w:rPr>
          <w:rFonts w:hint="default" w:ascii="Times New Roman" w:hAnsi="Times New Roman" w:eastAsia="方正楷体_GBK" w:cs="Times New Roman"/>
          <w:b w:val="0"/>
          <w:bCs w:val="0"/>
          <w:sz w:val="32"/>
          <w:szCs w:val="32"/>
          <w:lang w:eastAsia="zh-CN"/>
        </w:rPr>
        <w:t>（在建）</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在建的瓦窑堡水库是黔江区又一座列入《西南五省骨干水源工程规划》的水源建设项目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位于阿蓬江一级支流湘子江（又名沿溪河）中段城南街道办事处香水居委一组瓦窑堡（小地名）处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距黔江城区11km</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距青杠园区仅1km</w:t>
      </w:r>
      <w:bookmarkStart w:id="141" w:name="_Toc31671"/>
      <w:bookmarkStart w:id="142" w:name="_Toc59975778"/>
      <w:bookmarkStart w:id="143" w:name="_Toc60430028"/>
      <w:r>
        <w:rPr>
          <w:rFonts w:hint="default" w:ascii="Times New Roman" w:hAnsi="Times New Roman" w:eastAsia="方正仿宋_GBK" w:cs="Times New Roman"/>
          <w:sz w:val="32"/>
          <w:szCs w:val="32"/>
        </w:rPr>
        <w:t>。瓦窑堡水库总库容631.0万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水库年可供水量约1195万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将能有效提高青杠工业园区的供水保障能力。</w:t>
      </w:r>
      <w:bookmarkEnd w:id="141"/>
      <w:bookmarkEnd w:id="142"/>
      <w:bookmarkEnd w:id="143"/>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144" w:name="_Toc8031"/>
      <w:bookmarkStart w:id="145" w:name="_Toc26969"/>
      <w:bookmarkStart w:id="146" w:name="_Toc59975779"/>
      <w:r>
        <w:rPr>
          <w:rFonts w:hint="default" w:ascii="Times New Roman" w:hAnsi="Times New Roman" w:eastAsia="方正黑体_GBK" w:cs="Times New Roman"/>
          <w:b w:val="0"/>
          <w:bCs/>
          <w:kern w:val="2"/>
          <w:sz w:val="32"/>
          <w:szCs w:val="32"/>
          <w:lang w:eastAsia="zh-CN"/>
        </w:rPr>
        <w:t>二</w:t>
      </w:r>
      <w:r>
        <w:rPr>
          <w:rFonts w:hint="default" w:ascii="Times New Roman" w:hAnsi="Times New Roman" w:eastAsia="方正黑体_GBK" w:cs="Times New Roman"/>
          <w:b w:val="0"/>
          <w:bCs/>
          <w:kern w:val="2"/>
          <w:sz w:val="32"/>
          <w:szCs w:val="32"/>
        </w:rPr>
        <w:t>、供水水源选择</w:t>
      </w:r>
      <w:bookmarkEnd w:id="144"/>
      <w:bookmarkEnd w:id="145"/>
      <w:bookmarkEnd w:id="146"/>
    </w:p>
    <w:p>
      <w:pPr>
        <w:pStyle w:val="18"/>
        <w:spacing w:line="560" w:lineRule="exact"/>
        <w:ind w:firstLine="640"/>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lang w:eastAsia="zh-CN"/>
        </w:rPr>
        <w:t>（一）</w:t>
      </w:r>
      <w:r>
        <w:rPr>
          <w:rFonts w:hint="default" w:ascii="Times New Roman" w:hAnsi="Times New Roman" w:eastAsia="方正楷体_GBK" w:cs="Times New Roman"/>
          <w:b w:val="0"/>
          <w:bCs w:val="0"/>
          <w:sz w:val="32"/>
          <w:szCs w:val="32"/>
        </w:rPr>
        <w:t>白家湾水厂（现状制水规模3.0万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白家湾水厂现状及规划以洞塘水库为水源。洞塘水库总库容1210万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年可供水量为1548万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白家湾水厂年供水量约1100万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能满足白家湾水厂源水供应和渠道沿线人畜饮水。</w:t>
      </w:r>
    </w:p>
    <w:p>
      <w:pPr>
        <w:pStyle w:val="18"/>
        <w:spacing w:line="560" w:lineRule="exact"/>
        <w:ind w:firstLine="640"/>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lang w:eastAsia="zh-CN"/>
        </w:rPr>
        <w:t>（二）</w:t>
      </w:r>
      <w:r>
        <w:rPr>
          <w:rFonts w:hint="default" w:ascii="Times New Roman" w:hAnsi="Times New Roman" w:eastAsia="方正楷体_GBK" w:cs="Times New Roman"/>
          <w:b w:val="0"/>
          <w:bCs w:val="0"/>
          <w:sz w:val="32"/>
          <w:szCs w:val="32"/>
        </w:rPr>
        <w:t>三元宫水厂（现状制水规模3.0万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rPr>
        <w:t>规划终期制水规模5.0万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三元宫水厂现状水源以小南海水库为主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城北水库补充调节。规划期终制水规模5.0万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规划以小南海、城北两座水库为水源地。</w:t>
      </w:r>
    </w:p>
    <w:p>
      <w:pPr>
        <w:pStyle w:val="18"/>
        <w:spacing w:line="560" w:lineRule="exact"/>
        <w:ind w:firstLine="640"/>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lang w:eastAsia="zh-CN"/>
        </w:rPr>
        <w:t>（三）</w:t>
      </w:r>
      <w:r>
        <w:rPr>
          <w:rFonts w:hint="default" w:ascii="Times New Roman" w:hAnsi="Times New Roman" w:eastAsia="方正楷体_GBK" w:cs="Times New Roman"/>
          <w:b w:val="0"/>
          <w:bCs w:val="0"/>
          <w:sz w:val="32"/>
          <w:szCs w:val="32"/>
        </w:rPr>
        <w:t>正阳水厂（现状制水规模2.0万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rPr>
        <w:t>规划近期制水规模4.0万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rPr>
        <w:t>终期制水规模6.0万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正阳水厂现状水源为小南海水库。规划期终</w:t>
      </w:r>
      <w:r>
        <w:rPr>
          <w:rFonts w:hint="default" w:ascii="Times New Roman" w:hAnsi="Times New Roman" w:eastAsia="方正仿宋_GBK" w:cs="Times New Roman"/>
          <w:sz w:val="32"/>
          <w:szCs w:val="32"/>
          <w:lang w:eastAsia="zh-CN"/>
        </w:rPr>
        <w:t>期</w:t>
      </w:r>
      <w:r>
        <w:rPr>
          <w:rFonts w:hint="default" w:ascii="Times New Roman" w:hAnsi="Times New Roman" w:eastAsia="方正仿宋_GBK" w:cs="Times New Roman"/>
          <w:sz w:val="32"/>
          <w:szCs w:val="32"/>
        </w:rPr>
        <w:t>制水规模6.0万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仍然以小南海水库为水源。</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目前小南海水库至正阳水厂源水渠道已按正阳水厂终期规模6万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能满足源水供应需求。</w:t>
      </w:r>
    </w:p>
    <w:p>
      <w:pPr>
        <w:pStyle w:val="18"/>
        <w:spacing w:line="560" w:lineRule="exact"/>
        <w:ind w:firstLine="640"/>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lang w:eastAsia="zh-CN"/>
        </w:rPr>
        <w:t>（四）</w:t>
      </w:r>
      <w:r>
        <w:rPr>
          <w:rFonts w:hint="default" w:ascii="Times New Roman" w:hAnsi="Times New Roman" w:eastAsia="方正楷体_GBK" w:cs="Times New Roman"/>
          <w:b w:val="0"/>
          <w:bCs w:val="0"/>
          <w:sz w:val="32"/>
          <w:szCs w:val="32"/>
        </w:rPr>
        <w:t>青杠水厂（在建</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rPr>
        <w:t>规划近期开工</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rPr>
        <w:t>终期制水规模2.0万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p>
    <w:p>
      <w:pPr>
        <w:pStyle w:val="18"/>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供水水源：主要水源为太极水库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补充水源为瓦窑堡水库。</w:t>
      </w:r>
    </w:p>
    <w:p>
      <w:pPr>
        <w:pStyle w:val="18"/>
        <w:spacing w:line="560" w:lineRule="exact"/>
        <w:ind w:firstLine="640"/>
        <w:rPr>
          <w:rFonts w:hint="default" w:ascii="Times New Roman" w:hAnsi="Times New Roman" w:eastAsia="方正楷体_GBK" w:cs="Times New Roman"/>
          <w:b w:val="0"/>
          <w:bCs w:val="0"/>
          <w:sz w:val="32"/>
          <w:szCs w:val="32"/>
        </w:rPr>
      </w:pPr>
      <w:bookmarkStart w:id="147" w:name="_Toc60430031"/>
      <w:bookmarkStart w:id="148" w:name="_Toc20772"/>
      <w:bookmarkStart w:id="149" w:name="_Toc59975782"/>
      <w:r>
        <w:rPr>
          <w:rFonts w:hint="default" w:ascii="Times New Roman" w:hAnsi="Times New Roman" w:eastAsia="方正楷体_GBK" w:cs="Times New Roman"/>
          <w:b w:val="0"/>
          <w:bCs w:val="0"/>
          <w:sz w:val="32"/>
          <w:szCs w:val="32"/>
          <w:lang w:eastAsia="zh-CN"/>
        </w:rPr>
        <w:t>（五）</w:t>
      </w:r>
      <w:r>
        <w:rPr>
          <w:rFonts w:hint="default" w:ascii="Times New Roman" w:hAnsi="Times New Roman" w:eastAsia="方正楷体_GBK" w:cs="Times New Roman"/>
          <w:b w:val="0"/>
          <w:bCs w:val="0"/>
          <w:sz w:val="32"/>
          <w:szCs w:val="32"/>
        </w:rPr>
        <w:t>舟白水厂（现状制水规模2.0万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rPr>
        <w:t>规划终期制水规模4.0万</w:t>
      </w:r>
      <w:r>
        <w:rPr>
          <w:rFonts w:hint="default" w:ascii="Times New Roman" w:hAnsi="Times New Roman" w:eastAsia="方正楷体_GBK" w:cs="Times New Roman"/>
          <w:b w:val="0"/>
          <w:bCs w:val="0"/>
          <w:sz w:val="32"/>
          <w:szCs w:val="32"/>
          <w:highlight w:val="none"/>
        </w:rPr>
        <w:t>m</w:t>
      </w:r>
      <w:r>
        <w:rPr>
          <w:rFonts w:hint="default" w:ascii="Times New Roman" w:hAnsi="Times New Roman" w:eastAsia="方正楷体_GBK" w:cs="Times New Roman"/>
          <w:b w:val="0"/>
          <w:bCs w:val="0"/>
          <w:sz w:val="32"/>
          <w:szCs w:val="32"/>
          <w:highlight w:val="none"/>
          <w:vertAlign w:val="superscript"/>
        </w:rPr>
        <w:t>3</w:t>
      </w:r>
      <w:r>
        <w:rPr>
          <w:rFonts w:hint="default" w:ascii="Times New Roman" w:hAnsi="Times New Roman" w:eastAsia="方正楷体_GBK" w:cs="Times New Roman"/>
          <w:b w:val="0"/>
          <w:bCs w:val="0"/>
          <w:sz w:val="32"/>
          <w:szCs w:val="32"/>
        </w:rPr>
        <w:t>/d）</w:t>
      </w:r>
      <w:bookmarkEnd w:id="147"/>
      <w:bookmarkEnd w:id="148"/>
      <w:bookmarkEnd w:id="149"/>
    </w:p>
    <w:p>
      <w:pPr>
        <w:pStyle w:val="18"/>
        <w:spacing w:line="560" w:lineRule="exact"/>
        <w:ind w:firstLine="640"/>
        <w:rPr>
          <w:rFonts w:hint="default" w:ascii="Times New Roman" w:hAnsi="Times New Roman" w:eastAsia="方正仿宋_GBK" w:cs="Times New Roman"/>
          <w:sz w:val="32"/>
          <w:szCs w:val="32"/>
        </w:rPr>
      </w:pPr>
      <w:bookmarkStart w:id="150" w:name="_Toc59975783"/>
      <w:bookmarkStart w:id="151" w:name="_Toc27239"/>
      <w:bookmarkStart w:id="152" w:name="_Toc60430032"/>
      <w:r>
        <w:rPr>
          <w:rFonts w:hint="default" w:ascii="Times New Roman" w:hAnsi="Times New Roman" w:eastAsia="方正仿宋_GBK" w:cs="Times New Roman"/>
          <w:sz w:val="32"/>
          <w:szCs w:val="32"/>
        </w:rPr>
        <w:t>供水水源为小南海水库水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通过封闭式渠道引水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渠</w:t>
      </w:r>
      <w:r>
        <w:rPr>
          <w:rFonts w:hint="default" w:ascii="Times New Roman" w:hAnsi="Times New Roman" w:eastAsia="方正仿宋_GBK" w:cs="Times New Roman"/>
          <w:color w:val="auto"/>
          <w:sz w:val="32"/>
          <w:szCs w:val="32"/>
          <w:highlight w:val="none"/>
        </w:rPr>
        <w:t>道</w:t>
      </w:r>
      <w:r>
        <w:rPr>
          <w:rFonts w:hint="default" w:ascii="Times New Roman" w:hAnsi="Times New Roman" w:eastAsia="方正仿宋_GBK" w:cs="Times New Roman"/>
          <w:color w:val="auto"/>
          <w:sz w:val="32"/>
          <w:szCs w:val="32"/>
          <w:highlight w:val="none"/>
          <w:lang w:eastAsia="zh-CN"/>
        </w:rPr>
        <w:t>长度</w:t>
      </w:r>
      <w:r>
        <w:rPr>
          <w:rFonts w:hint="default" w:ascii="Times New Roman" w:hAnsi="Times New Roman" w:eastAsia="方正仿宋_GBK" w:cs="Times New Roman"/>
          <w:color w:val="auto"/>
          <w:sz w:val="32"/>
          <w:szCs w:val="32"/>
          <w:highlight w:val="none"/>
        </w:rPr>
        <w:t>约26公里。</w:t>
      </w:r>
      <w:bookmarkEnd w:id="150"/>
      <w:r>
        <w:rPr>
          <w:rFonts w:hint="default" w:ascii="Times New Roman" w:hAnsi="Times New Roman" w:eastAsia="方正仿宋_GBK" w:cs="Times New Roman"/>
          <w:color w:val="auto"/>
          <w:sz w:val="32"/>
          <w:szCs w:val="32"/>
          <w:highlight w:val="none"/>
        </w:rPr>
        <w:t>2015年建成二期（扩建）1.5万吨/日制水配套设施</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采用出厂加压供水模式</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总供水规模达到2万吨/日</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sz w:val="32"/>
          <w:szCs w:val="32"/>
        </w:rPr>
        <w:t>舟白水厂终期规模将达到4.0万吨/日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是舟白片区的供水水厂。</w:t>
      </w:r>
      <w:bookmarkEnd w:id="151"/>
      <w:bookmarkEnd w:id="152"/>
    </w:p>
    <w:p>
      <w:pPr>
        <w:pStyle w:val="18"/>
        <w:spacing w:line="560" w:lineRule="exact"/>
        <w:ind w:firstLine="640"/>
        <w:rPr>
          <w:rFonts w:hint="default" w:ascii="Times New Roman" w:hAnsi="Times New Roman" w:eastAsia="方正仿宋_GBK" w:cs="Times New Roman"/>
          <w:sz w:val="32"/>
          <w:szCs w:val="32"/>
        </w:rPr>
      </w:pPr>
      <w:bookmarkStart w:id="153" w:name="_Toc21671"/>
      <w:bookmarkStart w:id="154" w:name="_Toc60430033"/>
      <w:r>
        <w:rPr>
          <w:rFonts w:hint="default" w:ascii="Times New Roman" w:hAnsi="Times New Roman" w:eastAsia="方正仿宋_GBK" w:cs="Times New Roman"/>
          <w:sz w:val="32"/>
          <w:szCs w:val="32"/>
        </w:rPr>
        <w:t>各水厂源水供需平衡见下表：</w:t>
      </w:r>
      <w:bookmarkEnd w:id="153"/>
      <w:bookmarkEnd w:id="154"/>
    </w:p>
    <w:p>
      <w:pPr>
        <w:spacing w:line="560" w:lineRule="exact"/>
        <w:ind w:firstLine="616"/>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lang w:val="en-US" w:eastAsia="zh-CN"/>
        </w:rPr>
        <w:t xml:space="preserve">     </w:t>
      </w:r>
      <w:r>
        <w:rPr>
          <w:rFonts w:hint="default" w:ascii="Times New Roman" w:hAnsi="Times New Roman" w:eastAsia="方正仿宋_GBK" w:cs="Times New Roman"/>
          <w:b/>
          <w:spacing w:val="-6"/>
          <w:sz w:val="32"/>
          <w:szCs w:val="32"/>
        </w:rPr>
        <w:t>表5-1 水源供水供需平衡表          单位：</w:t>
      </w:r>
      <w:r>
        <w:rPr>
          <w:rFonts w:hint="default" w:ascii="Times New Roman" w:hAnsi="Times New Roman" w:eastAsia="方正仿宋_GBK" w:cs="Times New Roman"/>
          <w:sz w:val="24"/>
        </w:rPr>
        <w:t>万</w:t>
      </w:r>
      <w:r>
        <w:rPr>
          <w:rFonts w:hint="default" w:ascii="Times New Roman" w:hAnsi="Times New Roman" w:eastAsia="方正仿宋_GBK" w:cs="Times New Roman"/>
          <w:sz w:val="24"/>
          <w:highlight w:val="none"/>
        </w:rPr>
        <w:t>m</w:t>
      </w:r>
      <w:r>
        <w:rPr>
          <w:rFonts w:hint="default" w:ascii="Times New Roman" w:hAnsi="Times New Roman" w:eastAsia="方正仿宋_GBK" w:cs="Times New Roman"/>
          <w:sz w:val="24"/>
          <w:highlight w:val="none"/>
          <w:vertAlign w:val="superscript"/>
        </w:rPr>
        <w:t>3</w:t>
      </w:r>
      <w:r>
        <w:rPr>
          <w:rFonts w:hint="default" w:ascii="Times New Roman" w:hAnsi="Times New Roman" w:eastAsia="方正仿宋_GBK" w:cs="Times New Roman"/>
          <w:sz w:val="24"/>
        </w:rPr>
        <w:t>/d</w:t>
      </w:r>
    </w:p>
    <w:tbl>
      <w:tblPr>
        <w:tblStyle w:val="12"/>
        <w:tblW w:w="9280" w:type="dxa"/>
        <w:jc w:val="center"/>
        <w:tblLayout w:type="fixed"/>
        <w:tblCellMar>
          <w:top w:w="0" w:type="dxa"/>
          <w:left w:w="0" w:type="dxa"/>
          <w:bottom w:w="0" w:type="dxa"/>
          <w:right w:w="0" w:type="dxa"/>
        </w:tblCellMar>
      </w:tblPr>
      <w:tblGrid>
        <w:gridCol w:w="900"/>
        <w:gridCol w:w="1509"/>
        <w:gridCol w:w="1575"/>
        <w:gridCol w:w="700"/>
        <w:gridCol w:w="1016"/>
        <w:gridCol w:w="900"/>
        <w:gridCol w:w="950"/>
        <w:gridCol w:w="939"/>
        <w:gridCol w:w="791"/>
      </w:tblGrid>
      <w:tr>
        <w:tblPrEx>
          <w:tblCellMar>
            <w:top w:w="0" w:type="dxa"/>
            <w:left w:w="0" w:type="dxa"/>
            <w:bottom w:w="0" w:type="dxa"/>
            <w:right w:w="0" w:type="dxa"/>
          </w:tblCellMar>
        </w:tblPrEx>
        <w:trPr>
          <w:trHeight w:val="454" w:hRule="atLeast"/>
          <w:tblHeader/>
          <w:jc w:val="center"/>
        </w:trPr>
        <w:tc>
          <w:tcPr>
            <w:tcW w:w="900"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水厂名称</w:t>
            </w:r>
          </w:p>
        </w:tc>
        <w:tc>
          <w:tcPr>
            <w:tcW w:w="1509"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服务范围</w:t>
            </w:r>
          </w:p>
        </w:tc>
        <w:tc>
          <w:tcPr>
            <w:tcW w:w="1575" w:type="dxa"/>
            <w:tcBorders>
              <w:top w:val="single" w:color="000000" w:sz="8" w:space="0"/>
              <w:left w:val="nil"/>
              <w:bottom w:val="single" w:color="auto" w:sz="4"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水源</w:t>
            </w:r>
          </w:p>
        </w:tc>
        <w:tc>
          <w:tcPr>
            <w:tcW w:w="700" w:type="dxa"/>
            <w:tcBorders>
              <w:top w:val="single" w:color="000000" w:sz="8" w:space="0"/>
              <w:left w:val="nil"/>
              <w:bottom w:val="single" w:color="auto" w:sz="4"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现状</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规模</w:t>
            </w:r>
          </w:p>
        </w:tc>
        <w:tc>
          <w:tcPr>
            <w:tcW w:w="1016" w:type="dxa"/>
            <w:tcBorders>
              <w:top w:val="single" w:color="000000" w:sz="8" w:space="0"/>
              <w:left w:val="nil"/>
              <w:bottom w:val="single" w:color="auto" w:sz="4"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近期</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规模</w:t>
            </w:r>
          </w:p>
        </w:tc>
        <w:tc>
          <w:tcPr>
            <w:tcW w:w="900" w:type="dxa"/>
            <w:tcBorders>
              <w:top w:val="single" w:color="000000" w:sz="8" w:space="0"/>
              <w:left w:val="nil"/>
              <w:bottom w:val="single" w:color="auto" w:sz="4"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近期年原水需水量</w:t>
            </w:r>
          </w:p>
        </w:tc>
        <w:tc>
          <w:tcPr>
            <w:tcW w:w="950" w:type="dxa"/>
            <w:tcBorders>
              <w:top w:val="single" w:color="000000" w:sz="8" w:space="0"/>
              <w:left w:val="nil"/>
              <w:bottom w:val="single" w:color="auto" w:sz="4"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远期</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规模</w:t>
            </w:r>
          </w:p>
        </w:tc>
        <w:tc>
          <w:tcPr>
            <w:tcW w:w="939" w:type="dxa"/>
            <w:tcBorders>
              <w:top w:val="single" w:color="000000" w:sz="8" w:space="0"/>
              <w:left w:val="nil"/>
              <w:bottom w:val="single" w:color="auto" w:sz="4"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远期年</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需水量</w:t>
            </w:r>
          </w:p>
        </w:tc>
        <w:tc>
          <w:tcPr>
            <w:tcW w:w="791" w:type="dxa"/>
            <w:tcBorders>
              <w:top w:val="single" w:color="000000" w:sz="8" w:space="0"/>
              <w:left w:val="nil"/>
              <w:bottom w:val="single" w:color="auto" w:sz="4"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水源可</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供水量</w:t>
            </w:r>
          </w:p>
        </w:tc>
      </w:tr>
      <w:tr>
        <w:tblPrEx>
          <w:tblCellMar>
            <w:top w:w="0" w:type="dxa"/>
            <w:left w:w="0" w:type="dxa"/>
            <w:bottom w:w="0" w:type="dxa"/>
            <w:right w:w="0" w:type="dxa"/>
          </w:tblCellMar>
        </w:tblPrEx>
        <w:trPr>
          <w:trHeight w:val="454" w:hRule="atLeast"/>
          <w:jc w:val="center"/>
        </w:trPr>
        <w:tc>
          <w:tcPr>
            <w:tcW w:w="900"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白家湾水厂</w:t>
            </w:r>
          </w:p>
        </w:tc>
        <w:tc>
          <w:tcPr>
            <w:tcW w:w="1509"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老城片区</w:t>
            </w:r>
          </w:p>
        </w:tc>
        <w:tc>
          <w:tcPr>
            <w:tcW w:w="1575" w:type="dxa"/>
            <w:tcBorders>
              <w:top w:val="single" w:color="auto" w:sz="4"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洞塘水库</w:t>
            </w:r>
          </w:p>
        </w:tc>
        <w:tc>
          <w:tcPr>
            <w:tcW w:w="700" w:type="dxa"/>
            <w:tcBorders>
              <w:top w:val="single" w:color="auto" w:sz="4"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016" w:type="dxa"/>
            <w:tcBorders>
              <w:top w:val="single" w:color="auto" w:sz="4"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900" w:type="dxa"/>
            <w:vMerge w:val="restart"/>
            <w:tcBorders>
              <w:top w:val="single" w:color="auto" w:sz="4" w:space="0"/>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11</w:t>
            </w:r>
          </w:p>
        </w:tc>
        <w:tc>
          <w:tcPr>
            <w:tcW w:w="950" w:type="dxa"/>
            <w:tcBorders>
              <w:top w:val="single" w:color="auto" w:sz="4"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939" w:type="dxa"/>
            <w:vMerge w:val="restart"/>
            <w:tcBorders>
              <w:top w:val="single" w:color="auto" w:sz="4" w:space="0"/>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19</w:t>
            </w:r>
          </w:p>
        </w:tc>
        <w:tc>
          <w:tcPr>
            <w:tcW w:w="791" w:type="dxa"/>
            <w:tcBorders>
              <w:top w:val="single" w:color="auto" w:sz="4"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4.24</w:t>
            </w:r>
          </w:p>
        </w:tc>
      </w:tr>
      <w:tr>
        <w:tblPrEx>
          <w:tblCellMar>
            <w:top w:w="0" w:type="dxa"/>
            <w:left w:w="0" w:type="dxa"/>
            <w:bottom w:w="0" w:type="dxa"/>
            <w:right w:w="0" w:type="dxa"/>
          </w:tblCellMar>
        </w:tblPrEx>
        <w:trPr>
          <w:trHeight w:val="454" w:hRule="atLeast"/>
          <w:jc w:val="center"/>
        </w:trPr>
        <w:tc>
          <w:tcPr>
            <w:tcW w:w="900"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三元宫水厂</w:t>
            </w:r>
          </w:p>
        </w:tc>
        <w:tc>
          <w:tcPr>
            <w:tcW w:w="1509"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老城片区</w:t>
            </w:r>
          </w:p>
        </w:tc>
        <w:tc>
          <w:tcPr>
            <w:tcW w:w="1575"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小南海水库、城北水库</w:t>
            </w:r>
          </w:p>
        </w:tc>
        <w:tc>
          <w:tcPr>
            <w:tcW w:w="70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016"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900" w:type="dxa"/>
            <w:vMerge w:val="continue"/>
            <w:tcBorders>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c>
          <w:tcPr>
            <w:tcW w:w="95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939" w:type="dxa"/>
            <w:vMerge w:val="continue"/>
            <w:tcBorders>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c>
          <w:tcPr>
            <w:tcW w:w="791"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15.78</w:t>
            </w:r>
          </w:p>
        </w:tc>
      </w:tr>
      <w:tr>
        <w:tblPrEx>
          <w:tblCellMar>
            <w:top w:w="0" w:type="dxa"/>
            <w:left w:w="0" w:type="dxa"/>
            <w:bottom w:w="0" w:type="dxa"/>
            <w:right w:w="0" w:type="dxa"/>
          </w:tblCellMar>
        </w:tblPrEx>
        <w:trPr>
          <w:trHeight w:val="454" w:hRule="atLeast"/>
          <w:jc w:val="center"/>
        </w:trPr>
        <w:tc>
          <w:tcPr>
            <w:tcW w:w="900"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正阳水厂</w:t>
            </w:r>
          </w:p>
        </w:tc>
        <w:tc>
          <w:tcPr>
            <w:tcW w:w="1509"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正阳、冯家、蓬东片区</w:t>
            </w:r>
          </w:p>
        </w:tc>
        <w:tc>
          <w:tcPr>
            <w:tcW w:w="1575"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小南海水库</w:t>
            </w:r>
          </w:p>
        </w:tc>
        <w:tc>
          <w:tcPr>
            <w:tcW w:w="70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016"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900" w:type="dxa"/>
            <w:vMerge w:val="continue"/>
            <w:tcBorders>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c>
          <w:tcPr>
            <w:tcW w:w="95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6</w:t>
            </w:r>
          </w:p>
        </w:tc>
        <w:tc>
          <w:tcPr>
            <w:tcW w:w="939" w:type="dxa"/>
            <w:vMerge w:val="continue"/>
            <w:tcBorders>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c>
          <w:tcPr>
            <w:tcW w:w="791"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13.02</w:t>
            </w:r>
          </w:p>
        </w:tc>
      </w:tr>
      <w:tr>
        <w:tblPrEx>
          <w:tblCellMar>
            <w:top w:w="0" w:type="dxa"/>
            <w:left w:w="0" w:type="dxa"/>
            <w:bottom w:w="0" w:type="dxa"/>
            <w:right w:w="0" w:type="dxa"/>
          </w:tblCellMar>
        </w:tblPrEx>
        <w:trPr>
          <w:trHeight w:val="454" w:hRule="atLeast"/>
          <w:jc w:val="center"/>
        </w:trPr>
        <w:tc>
          <w:tcPr>
            <w:tcW w:w="900"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青杠水厂</w:t>
            </w:r>
          </w:p>
        </w:tc>
        <w:tc>
          <w:tcPr>
            <w:tcW w:w="1509"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青杠片区</w:t>
            </w:r>
          </w:p>
        </w:tc>
        <w:tc>
          <w:tcPr>
            <w:tcW w:w="1575"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太极水库、</w:t>
            </w:r>
            <w:r>
              <w:rPr>
                <w:rFonts w:hint="default" w:ascii="Times New Roman" w:hAnsi="Times New Roman" w:eastAsia="方正仿宋_GBK" w:cs="Times New Roman"/>
                <w:szCs w:val="28"/>
              </w:rPr>
              <w:br w:type="textWrapping"/>
            </w:r>
            <w:r>
              <w:rPr>
                <w:rFonts w:hint="default" w:ascii="Times New Roman" w:hAnsi="Times New Roman" w:eastAsia="方正仿宋_GBK" w:cs="Times New Roman"/>
                <w:szCs w:val="28"/>
              </w:rPr>
              <w:t>瓦窑堡水库</w:t>
            </w:r>
          </w:p>
        </w:tc>
        <w:tc>
          <w:tcPr>
            <w:tcW w:w="70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w:t>
            </w:r>
          </w:p>
        </w:tc>
        <w:tc>
          <w:tcPr>
            <w:tcW w:w="1016"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900" w:type="dxa"/>
            <w:vMerge w:val="continue"/>
            <w:tcBorders>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c>
          <w:tcPr>
            <w:tcW w:w="95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939" w:type="dxa"/>
            <w:vMerge w:val="continue"/>
            <w:tcBorders>
              <w:left w:val="nil"/>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560"/>
              <w:jc w:val="center"/>
              <w:textAlignment w:val="auto"/>
              <w:rPr>
                <w:rFonts w:hint="default" w:ascii="Times New Roman" w:hAnsi="Times New Roman" w:eastAsia="方正仿宋_GBK" w:cs="Times New Roman"/>
                <w:szCs w:val="28"/>
              </w:rPr>
            </w:pPr>
          </w:p>
        </w:tc>
        <w:tc>
          <w:tcPr>
            <w:tcW w:w="791"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10.84</w:t>
            </w:r>
          </w:p>
        </w:tc>
      </w:tr>
      <w:tr>
        <w:tblPrEx>
          <w:tblCellMar>
            <w:top w:w="0" w:type="dxa"/>
            <w:left w:w="0" w:type="dxa"/>
            <w:bottom w:w="0" w:type="dxa"/>
            <w:right w:w="0" w:type="dxa"/>
          </w:tblCellMar>
        </w:tblPrEx>
        <w:trPr>
          <w:trHeight w:val="454" w:hRule="atLeast"/>
          <w:jc w:val="center"/>
        </w:trPr>
        <w:tc>
          <w:tcPr>
            <w:tcW w:w="900"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舟白水厂</w:t>
            </w:r>
          </w:p>
        </w:tc>
        <w:tc>
          <w:tcPr>
            <w:tcW w:w="1509"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舟白片区</w:t>
            </w:r>
          </w:p>
        </w:tc>
        <w:tc>
          <w:tcPr>
            <w:tcW w:w="1575"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小南海水库</w:t>
            </w:r>
          </w:p>
        </w:tc>
        <w:tc>
          <w:tcPr>
            <w:tcW w:w="70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016"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900" w:type="dxa"/>
            <w:vMerge w:val="continue"/>
            <w:tcBorders>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95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4</w:t>
            </w:r>
          </w:p>
        </w:tc>
        <w:tc>
          <w:tcPr>
            <w:tcW w:w="939" w:type="dxa"/>
            <w:vMerge w:val="continue"/>
            <w:tcBorders>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791"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13.02</w:t>
            </w:r>
          </w:p>
        </w:tc>
      </w:tr>
      <w:tr>
        <w:tblPrEx>
          <w:tblCellMar>
            <w:top w:w="0" w:type="dxa"/>
            <w:left w:w="0" w:type="dxa"/>
            <w:bottom w:w="0" w:type="dxa"/>
            <w:right w:w="0" w:type="dxa"/>
          </w:tblCellMar>
        </w:tblPrEx>
        <w:trPr>
          <w:trHeight w:val="454" w:hRule="atLeast"/>
          <w:jc w:val="center"/>
        </w:trPr>
        <w:tc>
          <w:tcPr>
            <w:tcW w:w="900"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1509"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1575"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70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10</w:t>
            </w:r>
          </w:p>
        </w:tc>
        <w:tc>
          <w:tcPr>
            <w:tcW w:w="1016"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12</w:t>
            </w:r>
          </w:p>
        </w:tc>
        <w:tc>
          <w:tcPr>
            <w:tcW w:w="90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11</w:t>
            </w:r>
          </w:p>
        </w:tc>
        <w:tc>
          <w:tcPr>
            <w:tcW w:w="950"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w:t>
            </w:r>
          </w:p>
        </w:tc>
        <w:tc>
          <w:tcPr>
            <w:tcW w:w="939"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19</w:t>
            </w:r>
          </w:p>
        </w:tc>
        <w:tc>
          <w:tcPr>
            <w:tcW w:w="791" w:type="dxa"/>
            <w:tcBorders>
              <w:top w:val="nil"/>
              <w:left w:val="nil"/>
              <w:bottom w:val="single" w:color="000000" w:sz="8" w:space="0"/>
              <w:right w:val="single" w:color="000000" w:sz="8"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30.86</w:t>
            </w:r>
          </w:p>
        </w:tc>
      </w:tr>
    </w:tbl>
    <w:p>
      <w:pPr>
        <w:adjustRightInd w:val="0"/>
        <w:snapToGrid w:val="0"/>
        <w:spacing w:line="560" w:lineRule="exact"/>
        <w:ind w:firstLine="640"/>
        <w:rPr>
          <w:rFonts w:hint="default" w:ascii="Times New Roman" w:hAnsi="Times New Roman" w:eastAsia="方正仿宋_GBK" w:cs="Times New Roman"/>
          <w:sz w:val="32"/>
          <w:szCs w:val="32"/>
        </w:rPr>
      </w:pPr>
      <w:bookmarkStart w:id="155" w:name="_Toc74734892"/>
      <w:bookmarkStart w:id="156" w:name="_Toc59975784"/>
      <w:bookmarkStart w:id="157" w:name="_Toc60430034"/>
      <w:bookmarkStart w:id="158" w:name="_Toc25793"/>
      <w:r>
        <w:rPr>
          <w:rFonts w:hint="default" w:ascii="Times New Roman" w:hAnsi="Times New Roman" w:eastAsia="方正仿宋_GBK" w:cs="Times New Roman"/>
          <w:sz w:val="32"/>
          <w:szCs w:val="32"/>
        </w:rPr>
        <w:t>根据上表数据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水源均能满足源水供水需求。</w:t>
      </w:r>
      <w:bookmarkEnd w:id="155"/>
      <w:bookmarkEnd w:id="156"/>
      <w:bookmarkEnd w:id="157"/>
      <w:bookmarkEnd w:id="158"/>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159" w:name="_Toc16328"/>
      <w:bookmarkStart w:id="160" w:name="_Toc59975785"/>
      <w:bookmarkStart w:id="161" w:name="_Toc13591"/>
      <w:r>
        <w:rPr>
          <w:rFonts w:hint="default" w:ascii="Times New Roman" w:hAnsi="Times New Roman" w:eastAsia="方正黑体_GBK" w:cs="Times New Roman"/>
          <w:b w:val="0"/>
          <w:bCs/>
          <w:kern w:val="2"/>
          <w:sz w:val="32"/>
          <w:szCs w:val="32"/>
          <w:lang w:eastAsia="zh-CN"/>
        </w:rPr>
        <w:t>三</w:t>
      </w:r>
      <w:r>
        <w:rPr>
          <w:rFonts w:hint="default" w:ascii="Times New Roman" w:hAnsi="Times New Roman" w:eastAsia="方正黑体_GBK" w:cs="Times New Roman"/>
          <w:b w:val="0"/>
          <w:bCs/>
          <w:kern w:val="2"/>
          <w:sz w:val="32"/>
          <w:szCs w:val="32"/>
        </w:rPr>
        <w:t>、应急备用水源规划</w:t>
      </w:r>
      <w:bookmarkEnd w:id="159"/>
      <w:bookmarkEnd w:id="160"/>
      <w:bookmarkEnd w:id="161"/>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62" w:name="_Toc74734897"/>
      <w:bookmarkStart w:id="163" w:name="_Toc59975786"/>
      <w:bookmarkStart w:id="164" w:name="_Toc20247044"/>
      <w:bookmarkStart w:id="165" w:name="_Toc15002"/>
      <w:r>
        <w:rPr>
          <w:rFonts w:hint="default" w:ascii="Times New Roman" w:hAnsi="Times New Roman" w:eastAsia="方正楷体_GBK" w:cs="Times New Roman"/>
          <w:sz w:val="32"/>
          <w:szCs w:val="32"/>
        </w:rPr>
        <w:t>（一）源水多源互补</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多点布置工程规划</w:t>
      </w:r>
      <w:bookmarkEnd w:id="162"/>
      <w:bookmarkEnd w:id="163"/>
      <w:bookmarkEnd w:id="164"/>
      <w:bookmarkEnd w:id="165"/>
    </w:p>
    <w:p>
      <w:pPr>
        <w:adjustRightInd w:val="0"/>
        <w:snapToGrid w:val="0"/>
        <w:spacing w:line="560" w:lineRule="exact"/>
        <w:ind w:firstLine="640"/>
        <w:rPr>
          <w:rFonts w:hint="default" w:ascii="Times New Roman" w:hAnsi="Times New Roman" w:eastAsia="方正仿宋_GBK" w:cs="Times New Roman"/>
          <w:sz w:val="32"/>
          <w:szCs w:val="32"/>
        </w:rPr>
      </w:pPr>
      <w:bookmarkStart w:id="166" w:name="_Toc59975787"/>
      <w:bookmarkStart w:id="167" w:name="_Toc74734899"/>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白家湾水厂应急水源规划</w:t>
      </w:r>
      <w:bookmarkEnd w:id="166"/>
      <w:bookmarkEnd w:id="167"/>
      <w:r>
        <w:rPr>
          <w:rFonts w:hint="default" w:ascii="Times New Roman" w:hAnsi="Times New Roman" w:eastAsia="方正仿宋_GBK" w:cs="Times New Roman"/>
          <w:b/>
          <w:bCs/>
          <w:sz w:val="32"/>
          <w:szCs w:val="32"/>
          <w:lang w:eastAsia="zh-CN"/>
        </w:rPr>
        <w:t>。</w:t>
      </w:r>
      <w:bookmarkStart w:id="168" w:name="_Toc74734902"/>
      <w:r>
        <w:rPr>
          <w:rFonts w:hint="default" w:ascii="Times New Roman" w:hAnsi="Times New Roman" w:eastAsia="方正仿宋_GBK" w:cs="Times New Roman"/>
          <w:sz w:val="32"/>
          <w:szCs w:val="32"/>
        </w:rPr>
        <w:t>对白家湾水厂在洞塘水库的源水取水口进行改造；</w:t>
      </w:r>
      <w:bookmarkEnd w:id="168"/>
      <w:bookmarkStart w:id="169" w:name="_Toc74734903"/>
      <w:r>
        <w:rPr>
          <w:rFonts w:hint="default" w:ascii="Times New Roman" w:hAnsi="Times New Roman" w:eastAsia="方正仿宋_GBK" w:cs="Times New Roman"/>
          <w:sz w:val="32"/>
          <w:szCs w:val="32"/>
        </w:rPr>
        <w:t>在邬阳桥接城北水库输水管道</w:t>
      </w:r>
      <w:r>
        <w:rPr>
          <w:rFonts w:hint="default" w:ascii="Times New Roman" w:hAnsi="Times New Roman" w:eastAsia="方正仿宋_GBK" w:cs="Times New Roman"/>
          <w:sz w:val="32"/>
          <w:szCs w:val="32"/>
          <w:lang w:eastAsia="zh-CN"/>
        </w:rPr>
        <w:t>，并</w:t>
      </w:r>
      <w:r>
        <w:rPr>
          <w:rFonts w:hint="default" w:ascii="Times New Roman" w:hAnsi="Times New Roman" w:eastAsia="方正仿宋_GBK" w:cs="Times New Roman"/>
          <w:sz w:val="32"/>
          <w:szCs w:val="32"/>
        </w:rPr>
        <w:t>新建提水加压泵站1座。</w:t>
      </w:r>
      <w:bookmarkEnd w:id="169"/>
      <w:bookmarkStart w:id="170" w:name="_Toc74734905"/>
      <w:r>
        <w:rPr>
          <w:rFonts w:hint="default" w:ascii="Times New Roman" w:hAnsi="Times New Roman" w:eastAsia="方正仿宋_GBK" w:cs="Times New Roman"/>
          <w:sz w:val="32"/>
          <w:szCs w:val="32"/>
          <w:lang w:eastAsia="zh-CN"/>
        </w:rPr>
        <w:t>需</w:t>
      </w:r>
      <w:r>
        <w:rPr>
          <w:rFonts w:hint="default" w:ascii="Times New Roman" w:hAnsi="Times New Roman" w:eastAsia="方正仿宋_GBK" w:cs="Times New Roman"/>
          <w:sz w:val="32"/>
          <w:szCs w:val="32"/>
        </w:rPr>
        <w:t>新增用地1亩。</w:t>
      </w:r>
      <w:bookmarkEnd w:id="170"/>
    </w:p>
    <w:p>
      <w:pPr>
        <w:adjustRightInd w:val="0"/>
        <w:snapToGrid w:val="0"/>
        <w:spacing w:line="560" w:lineRule="exact"/>
        <w:ind w:firstLine="640"/>
        <w:rPr>
          <w:rFonts w:hint="default" w:ascii="Times New Roman" w:hAnsi="Times New Roman" w:eastAsia="方正仿宋_GBK" w:cs="Times New Roman"/>
          <w:sz w:val="32"/>
          <w:szCs w:val="32"/>
        </w:rPr>
      </w:pPr>
      <w:bookmarkStart w:id="171" w:name="_Toc74734907"/>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舟白水厂应急水源规划</w:t>
      </w:r>
      <w:bookmarkEnd w:id="171"/>
      <w:r>
        <w:rPr>
          <w:rFonts w:hint="default" w:ascii="Times New Roman" w:hAnsi="Times New Roman" w:eastAsia="方正仿宋_GBK" w:cs="Times New Roman"/>
          <w:b/>
          <w:bCs/>
          <w:sz w:val="32"/>
          <w:szCs w:val="32"/>
          <w:lang w:eastAsia="zh-CN"/>
        </w:rPr>
        <w:t>。</w:t>
      </w:r>
      <w:bookmarkStart w:id="172" w:name="_Toc74734910"/>
      <w:r>
        <w:rPr>
          <w:rFonts w:hint="default" w:ascii="Times New Roman" w:hAnsi="Times New Roman" w:eastAsia="方正仿宋_GBK" w:cs="Times New Roman"/>
          <w:sz w:val="32"/>
          <w:szCs w:val="32"/>
        </w:rPr>
        <w:t>在城北水</w:t>
      </w:r>
      <w:r>
        <w:rPr>
          <w:rFonts w:hint="default" w:ascii="Times New Roman" w:hAnsi="Times New Roman" w:eastAsia="方正仿宋_GBK" w:cs="Times New Roman"/>
          <w:color w:val="auto"/>
          <w:sz w:val="32"/>
          <w:szCs w:val="32"/>
          <w:highlight w:val="none"/>
        </w:rPr>
        <w:t>库供往三元宫水厂取水位置</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安装输水管道约</w:t>
      </w:r>
      <w:r>
        <w:rPr>
          <w:rFonts w:hint="default" w:ascii="Times New Roman" w:hAnsi="Times New Roman" w:eastAsia="方正仿宋_GBK" w:cs="Times New Roman"/>
          <w:color w:val="auto"/>
          <w:sz w:val="32"/>
          <w:szCs w:val="32"/>
          <w:highlight w:val="none"/>
          <w:lang w:val="en-US" w:eastAsia="zh-CN"/>
        </w:rPr>
        <w:t>1公里</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新建提水</w:t>
      </w:r>
      <w:r>
        <w:rPr>
          <w:rFonts w:hint="default" w:ascii="Times New Roman" w:hAnsi="Times New Roman" w:eastAsia="方正仿宋_GBK" w:cs="Times New Roman"/>
          <w:sz w:val="32"/>
          <w:szCs w:val="32"/>
        </w:rPr>
        <w:t>加压泵站1座。</w:t>
      </w:r>
      <w:bookmarkEnd w:id="172"/>
      <w:bookmarkStart w:id="173" w:name="_Toc74734912"/>
      <w:r>
        <w:rPr>
          <w:rFonts w:hint="default" w:ascii="Times New Roman" w:hAnsi="Times New Roman" w:eastAsia="方正仿宋_GBK" w:cs="Times New Roman"/>
          <w:sz w:val="32"/>
          <w:szCs w:val="32"/>
          <w:lang w:eastAsia="zh-CN"/>
        </w:rPr>
        <w:t>需</w:t>
      </w:r>
      <w:r>
        <w:rPr>
          <w:rFonts w:hint="default" w:ascii="Times New Roman" w:hAnsi="Times New Roman" w:eastAsia="方正仿宋_GBK" w:cs="Times New Roman"/>
          <w:sz w:val="32"/>
          <w:szCs w:val="32"/>
        </w:rPr>
        <w:t>新增用地1亩。</w:t>
      </w:r>
      <w:bookmarkEnd w:id="173"/>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74" w:name="_Toc74734914"/>
      <w:r>
        <w:rPr>
          <w:rFonts w:hint="default" w:ascii="Times New Roman" w:hAnsi="Times New Roman" w:eastAsia="方正楷体_GBK" w:cs="Times New Roman"/>
          <w:sz w:val="32"/>
          <w:szCs w:val="32"/>
        </w:rPr>
        <w:t>（二）保障水质水量</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源水取水工程规划</w:t>
      </w:r>
      <w:bookmarkEnd w:id="174"/>
    </w:p>
    <w:p>
      <w:pPr>
        <w:adjustRightInd w:val="0"/>
        <w:snapToGrid w:val="0"/>
        <w:spacing w:line="560" w:lineRule="exact"/>
        <w:ind w:firstLine="640"/>
        <w:rPr>
          <w:rFonts w:hint="default" w:ascii="Times New Roman" w:hAnsi="Times New Roman" w:eastAsia="方正仿宋_GBK" w:cs="Times New Roman"/>
          <w:sz w:val="32"/>
          <w:szCs w:val="32"/>
        </w:rPr>
      </w:pPr>
      <w:bookmarkStart w:id="175" w:name="_Toc74734915"/>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小南海水库取水口改造</w:t>
      </w:r>
      <w:r>
        <w:rPr>
          <w:rFonts w:hint="default" w:ascii="Times New Roman" w:hAnsi="Times New Roman" w:eastAsia="方正仿宋_GBK" w:cs="Times New Roman"/>
          <w:b/>
          <w:bCs/>
          <w:sz w:val="32"/>
          <w:szCs w:val="32"/>
          <w:lang w:eastAsia="zh-CN"/>
        </w:rPr>
        <w:t>。</w:t>
      </w:r>
      <w:bookmarkEnd w:id="175"/>
      <w:bookmarkStart w:id="176" w:name="_Toc74734917"/>
      <w:r>
        <w:rPr>
          <w:rFonts w:hint="default" w:ascii="Times New Roman" w:hAnsi="Times New Roman" w:eastAsia="方正仿宋_GBK" w:cs="Times New Roman"/>
          <w:sz w:val="32"/>
          <w:szCs w:val="32"/>
        </w:rPr>
        <w:t>在小南海水库取水点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通过新建分层取水进水口</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根据季节不同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取用更好的水层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保障供水质量。</w:t>
      </w:r>
      <w:bookmarkEnd w:id="176"/>
    </w:p>
    <w:p>
      <w:pPr>
        <w:adjustRightInd w:val="0"/>
        <w:snapToGrid w:val="0"/>
        <w:spacing w:line="560" w:lineRule="exact"/>
        <w:ind w:firstLine="640"/>
        <w:rPr>
          <w:rFonts w:hint="default" w:ascii="Times New Roman" w:hAnsi="Times New Roman" w:eastAsia="方正仿宋_GBK" w:cs="Times New Roman"/>
          <w:sz w:val="32"/>
          <w:szCs w:val="32"/>
        </w:rPr>
      </w:pPr>
      <w:bookmarkStart w:id="177" w:name="_Toc74734920"/>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麻田坝水厂取水许可提升</w:t>
      </w:r>
      <w:r>
        <w:rPr>
          <w:rFonts w:hint="default" w:ascii="Times New Roman" w:hAnsi="Times New Roman" w:eastAsia="方正仿宋_GBK" w:cs="Times New Roman"/>
          <w:b/>
          <w:bCs/>
          <w:sz w:val="32"/>
          <w:szCs w:val="32"/>
          <w:lang w:eastAsia="zh-CN"/>
        </w:rPr>
        <w:t>。</w:t>
      </w:r>
      <w:bookmarkEnd w:id="177"/>
      <w:bookmarkStart w:id="178" w:name="_Toc74734922"/>
      <w:r>
        <w:rPr>
          <w:rFonts w:hint="default" w:ascii="Times New Roman" w:hAnsi="Times New Roman" w:eastAsia="方正仿宋_GBK" w:cs="Times New Roman"/>
          <w:sz w:val="32"/>
          <w:szCs w:val="32"/>
        </w:rPr>
        <w:t>本次扩建工程主要进行供区管网扩网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洋海湖和华涧沟取水口的取水管</w:t>
      </w:r>
      <w:r>
        <w:rPr>
          <w:rFonts w:hint="default" w:ascii="Times New Roman" w:hAnsi="Times New Roman" w:eastAsia="方正仿宋_GBK" w:cs="Times New Roman"/>
          <w:sz w:val="32"/>
          <w:szCs w:val="32"/>
          <w:highlight w:val="none"/>
        </w:rPr>
        <w:t>网不进行更换</w:t>
      </w:r>
      <w:r>
        <w:rPr>
          <w:rFonts w:hint="default" w:ascii="Times New Roman" w:hAnsi="Times New Roman" w:eastAsia="方正仿宋_GBK" w:cs="Times New Roman"/>
          <w:sz w:val="32"/>
          <w:szCs w:val="32"/>
          <w:lang w:eastAsia="zh-CN"/>
        </w:rPr>
        <w:t>，增大</w:t>
      </w:r>
      <w:r>
        <w:rPr>
          <w:rFonts w:hint="default" w:ascii="Times New Roman" w:hAnsi="Times New Roman" w:eastAsia="方正仿宋_GBK" w:cs="Times New Roman"/>
          <w:sz w:val="32"/>
          <w:szCs w:val="32"/>
        </w:rPr>
        <w:t>红尾泉取水口取水管网管径</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供水管网管径；在原水进水口增加管</w:t>
      </w:r>
      <w:r>
        <w:rPr>
          <w:rFonts w:hint="default" w:ascii="Times New Roman" w:hAnsi="Times New Roman" w:eastAsia="方正仿宋_GBK" w:cs="Times New Roman"/>
          <w:sz w:val="32"/>
          <w:szCs w:val="32"/>
          <w:highlight w:val="none"/>
        </w:rPr>
        <w:t>道</w:t>
      </w:r>
      <w:r>
        <w:rPr>
          <w:rFonts w:hint="default" w:ascii="Times New Roman" w:hAnsi="Times New Roman" w:eastAsia="方正仿宋_GBK" w:cs="Times New Roman"/>
          <w:sz w:val="32"/>
          <w:szCs w:val="32"/>
          <w:highlight w:val="none"/>
          <w:lang w:eastAsia="zh-CN"/>
        </w:rPr>
        <w:t>用以向</w:t>
      </w:r>
      <w:r>
        <w:rPr>
          <w:rFonts w:hint="default" w:ascii="Times New Roman" w:hAnsi="Times New Roman" w:eastAsia="方正仿宋_GBK" w:cs="Times New Roman"/>
          <w:sz w:val="32"/>
          <w:szCs w:val="32"/>
          <w:highlight w:val="none"/>
        </w:rPr>
        <w:t>供区</w:t>
      </w:r>
      <w:r>
        <w:rPr>
          <w:rFonts w:hint="default" w:ascii="Times New Roman" w:hAnsi="Times New Roman" w:eastAsia="方正仿宋_GBK" w:cs="Times New Roman"/>
          <w:sz w:val="32"/>
          <w:szCs w:val="32"/>
        </w:rPr>
        <w:t>内工业企业</w:t>
      </w:r>
      <w:r>
        <w:rPr>
          <w:rFonts w:hint="default" w:ascii="Times New Roman" w:hAnsi="Times New Roman" w:eastAsia="方正仿宋_GBK" w:cs="Times New Roman"/>
          <w:sz w:val="32"/>
          <w:szCs w:val="32"/>
          <w:lang w:eastAsia="zh-CN"/>
        </w:rPr>
        <w:t>输送</w:t>
      </w:r>
      <w:r>
        <w:rPr>
          <w:rFonts w:hint="default" w:ascii="Times New Roman" w:hAnsi="Times New Roman" w:eastAsia="方正仿宋_GBK" w:cs="Times New Roman"/>
          <w:sz w:val="32"/>
          <w:szCs w:val="32"/>
        </w:rPr>
        <w:t>生产用水。</w:t>
      </w:r>
      <w:bookmarkEnd w:id="178"/>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179" w:name="_Toc7470"/>
      <w:bookmarkStart w:id="180" w:name="_Toc59975788"/>
      <w:bookmarkStart w:id="181" w:name="_Toc16914"/>
      <w:r>
        <w:rPr>
          <w:rFonts w:hint="default" w:ascii="Times New Roman" w:hAnsi="Times New Roman" w:eastAsia="方正黑体_GBK" w:cs="Times New Roman"/>
          <w:b w:val="0"/>
          <w:bCs/>
          <w:kern w:val="2"/>
          <w:sz w:val="32"/>
          <w:szCs w:val="32"/>
          <w:lang w:eastAsia="zh-CN"/>
        </w:rPr>
        <w:t>四</w:t>
      </w:r>
      <w:r>
        <w:rPr>
          <w:rFonts w:hint="default" w:ascii="Times New Roman" w:hAnsi="Times New Roman" w:eastAsia="方正黑体_GBK" w:cs="Times New Roman"/>
          <w:b w:val="0"/>
          <w:bCs/>
          <w:kern w:val="2"/>
          <w:sz w:val="32"/>
          <w:szCs w:val="32"/>
        </w:rPr>
        <w:t>、取水工程规划</w:t>
      </w:r>
      <w:bookmarkEnd w:id="179"/>
      <w:bookmarkEnd w:id="180"/>
      <w:bookmarkEnd w:id="181"/>
    </w:p>
    <w:p>
      <w:pPr>
        <w:snapToGrid w:val="0"/>
        <w:spacing w:line="560" w:lineRule="exact"/>
        <w:ind w:firstLine="0" w:firstLineChars="0"/>
        <w:jc w:val="center"/>
        <w:outlineLvl w:val="1"/>
        <w:rPr>
          <w:rFonts w:hint="default" w:ascii="Times New Roman" w:hAnsi="Times New Roman" w:eastAsia="方正仿宋_GBK" w:cs="Times New Roman"/>
          <w:b/>
          <w:spacing w:val="-6"/>
          <w:sz w:val="32"/>
          <w:szCs w:val="32"/>
        </w:rPr>
      </w:pPr>
      <w:bookmarkStart w:id="182" w:name="_Toc74734926"/>
      <w:bookmarkStart w:id="183" w:name="_Toc60430039"/>
      <w:bookmarkStart w:id="184" w:name="_Toc22535"/>
      <w:bookmarkStart w:id="185" w:name="_Toc81921936"/>
      <w:bookmarkStart w:id="186" w:name="_Toc59975789"/>
      <w:bookmarkStart w:id="187" w:name="_Toc19091"/>
      <w:r>
        <w:rPr>
          <w:rFonts w:hint="default" w:ascii="Times New Roman" w:hAnsi="Times New Roman" w:eastAsia="方正仿宋_GBK" w:cs="Times New Roman"/>
          <w:b/>
          <w:spacing w:val="-6"/>
          <w:sz w:val="32"/>
          <w:szCs w:val="32"/>
        </w:rPr>
        <w:t>表5-2 取水工程规划一览表</w:t>
      </w:r>
      <w:bookmarkEnd w:id="182"/>
      <w:bookmarkEnd w:id="183"/>
      <w:bookmarkEnd w:id="184"/>
      <w:bookmarkEnd w:id="185"/>
      <w:bookmarkEnd w:id="186"/>
      <w:bookmarkEnd w:id="187"/>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232"/>
        <w:gridCol w:w="1510"/>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新增/改造</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水源地</w:t>
            </w:r>
          </w:p>
        </w:tc>
        <w:tc>
          <w:tcPr>
            <w:tcW w:w="12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水源水质</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建设时序</w:t>
            </w:r>
          </w:p>
        </w:tc>
        <w:tc>
          <w:tcPr>
            <w:tcW w:w="17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规划受水水厂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改造</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洞塘水库</w:t>
            </w:r>
          </w:p>
        </w:tc>
        <w:tc>
          <w:tcPr>
            <w:tcW w:w="12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lang w:eastAsia="zh-CN"/>
              </w:rPr>
            </w:pPr>
            <w:r>
              <w:rPr>
                <w:rFonts w:hint="default" w:ascii="Times New Roman" w:hAnsi="Times New Roman" w:eastAsia="方正仿宋_GBK" w:cs="Times New Roman"/>
                <w:szCs w:val="28"/>
                <w:highlight w:val="none"/>
                <w:lang w:eastAsia="zh-CN"/>
              </w:rPr>
              <w:t>Ⅱ</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2021-2022</w:t>
            </w:r>
          </w:p>
        </w:tc>
        <w:tc>
          <w:tcPr>
            <w:tcW w:w="17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白家湾水厂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新增</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城北水库</w:t>
            </w:r>
          </w:p>
        </w:tc>
        <w:tc>
          <w:tcPr>
            <w:tcW w:w="12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lang w:eastAsia="zh-CN"/>
              </w:rPr>
            </w:pPr>
            <w:r>
              <w:rPr>
                <w:rFonts w:hint="default" w:ascii="Times New Roman" w:hAnsi="Times New Roman" w:eastAsia="方正仿宋_GBK" w:cs="Times New Roman"/>
                <w:szCs w:val="28"/>
                <w:highlight w:val="none"/>
                <w:lang w:eastAsia="zh-CN"/>
              </w:rPr>
              <w:t>Ⅱ</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2025-2027</w:t>
            </w:r>
          </w:p>
        </w:tc>
        <w:tc>
          <w:tcPr>
            <w:tcW w:w="17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白家湾水厂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新增</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城北水库</w:t>
            </w:r>
          </w:p>
        </w:tc>
        <w:tc>
          <w:tcPr>
            <w:tcW w:w="12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lang w:eastAsia="zh-CN"/>
              </w:rPr>
            </w:pPr>
            <w:r>
              <w:rPr>
                <w:rFonts w:hint="default" w:ascii="Times New Roman" w:hAnsi="Times New Roman" w:eastAsia="方正仿宋_GBK" w:cs="Times New Roman"/>
                <w:szCs w:val="28"/>
                <w:highlight w:val="none"/>
                <w:lang w:eastAsia="zh-CN"/>
              </w:rPr>
              <w:t>Ⅱ</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2021-2022</w:t>
            </w:r>
          </w:p>
        </w:tc>
        <w:tc>
          <w:tcPr>
            <w:tcW w:w="17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新增</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小南海水库</w:t>
            </w:r>
          </w:p>
        </w:tc>
        <w:tc>
          <w:tcPr>
            <w:tcW w:w="12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lang w:eastAsia="zh-CN"/>
              </w:rPr>
            </w:pPr>
            <w:r>
              <w:rPr>
                <w:rFonts w:hint="default" w:ascii="Times New Roman" w:hAnsi="Times New Roman" w:eastAsia="方正仿宋_GBK" w:cs="Times New Roman"/>
                <w:szCs w:val="28"/>
                <w:highlight w:val="none"/>
                <w:lang w:eastAsia="zh-CN"/>
              </w:rPr>
              <w:t>Ⅱ</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2022-2023</w:t>
            </w:r>
          </w:p>
        </w:tc>
        <w:tc>
          <w:tcPr>
            <w:tcW w:w="17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三元宫、正阳、舟白水厂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改造</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红尾泉</w:t>
            </w:r>
          </w:p>
        </w:tc>
        <w:tc>
          <w:tcPr>
            <w:tcW w:w="123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51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2021-2021</w:t>
            </w:r>
          </w:p>
        </w:tc>
        <w:tc>
          <w:tcPr>
            <w:tcW w:w="1789"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麻田坝水厂</w:t>
            </w:r>
          </w:p>
        </w:tc>
      </w:tr>
    </w:tbl>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188" w:name="_Toc59975790"/>
      <w:bookmarkStart w:id="189" w:name="_Toc5411"/>
      <w:bookmarkStart w:id="190" w:name="_Toc3053"/>
      <w:r>
        <w:rPr>
          <w:rFonts w:hint="default" w:ascii="Times New Roman" w:hAnsi="Times New Roman" w:eastAsia="方正黑体_GBK" w:cs="Times New Roman"/>
          <w:b w:val="0"/>
          <w:bCs/>
          <w:kern w:val="2"/>
          <w:sz w:val="32"/>
          <w:szCs w:val="32"/>
          <w:lang w:eastAsia="zh-CN"/>
        </w:rPr>
        <w:t>五</w:t>
      </w:r>
      <w:r>
        <w:rPr>
          <w:rFonts w:hint="default" w:ascii="Times New Roman" w:hAnsi="Times New Roman" w:eastAsia="方正黑体_GBK" w:cs="Times New Roman"/>
          <w:b w:val="0"/>
          <w:bCs/>
          <w:kern w:val="2"/>
          <w:sz w:val="32"/>
          <w:szCs w:val="32"/>
        </w:rPr>
        <w:t>、水源保护措施</w:t>
      </w:r>
      <w:bookmarkEnd w:id="188"/>
      <w:bookmarkEnd w:id="189"/>
      <w:bookmarkEnd w:id="190"/>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191" w:name="_Toc74734928"/>
      <w:bookmarkStart w:id="192" w:name="_Toc24155"/>
      <w:bookmarkStart w:id="193" w:name="_Toc59975791"/>
      <w:r>
        <w:rPr>
          <w:rFonts w:hint="default" w:ascii="Times New Roman" w:hAnsi="Times New Roman" w:eastAsia="方正楷体_GBK" w:cs="Times New Roman"/>
          <w:sz w:val="32"/>
          <w:szCs w:val="32"/>
        </w:rPr>
        <w:t>（一）水源地保护范围</w:t>
      </w:r>
      <w:bookmarkEnd w:id="191"/>
      <w:bookmarkEnd w:id="192"/>
      <w:bookmarkEnd w:id="193"/>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黔江区水源地保护范围为：</w:t>
      </w:r>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一级保护区：取水口半径300米范围内的水域和取水口侧正常水位线以上200米范围内的陆域；</w:t>
      </w:r>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二级保护区：一级保护区边界外的所有水库水域面积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陆域范围为水库周边山脊线以内（一级保护区除外）及入库河流上溯3000米的汇水区域；</w:t>
      </w:r>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准保护区：二级保护区以外的汇水区域。</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（二）保护区水质标准</w:t>
      </w:r>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水源保护区的水质标准应当符合下列规定（GB3838-2002）：</w:t>
      </w:r>
    </w:p>
    <w:p>
      <w:pPr>
        <w:numPr>
          <w:ilvl w:val="0"/>
          <w:numId w:val="1"/>
        </w:num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一级保护区的水质不得低于国家规定的</w:t>
      </w:r>
      <w:r>
        <w:rPr>
          <w:rFonts w:hint="default" w:ascii="Times New Roman" w:hAnsi="Times New Roman" w:eastAsia="方正仿宋_GBK" w:cs="Times New Roman"/>
          <w:sz w:val="32"/>
          <w:szCs w:val="32"/>
          <w:highlight w:val="none"/>
        </w:rPr>
        <w:t>地面水</w:t>
      </w:r>
      <w:r>
        <w:rPr>
          <w:rFonts w:hint="default" w:ascii="Times New Roman" w:hAnsi="Times New Roman" w:eastAsia="方正仿宋_GBK" w:cs="Times New Roman"/>
          <w:sz w:val="32"/>
          <w:szCs w:val="32"/>
          <w:highlight w:val="none"/>
          <w:lang w:eastAsia="zh-CN"/>
        </w:rPr>
        <w:t>Ⅱ</w:t>
      </w:r>
      <w:r>
        <w:rPr>
          <w:rFonts w:hint="default" w:ascii="Times New Roman" w:hAnsi="Times New Roman" w:eastAsia="方正仿宋_GBK" w:cs="Times New Roman"/>
          <w:sz w:val="32"/>
          <w:szCs w:val="32"/>
        </w:rPr>
        <w:t>类环境质量标准。</w:t>
      </w:r>
    </w:p>
    <w:p>
      <w:pPr>
        <w:numPr>
          <w:ilvl w:val="0"/>
          <w:numId w:val="1"/>
        </w:numPr>
        <w:adjustRightInd w:val="0"/>
        <w:snapToGrid w:val="0"/>
        <w:spacing w:line="560"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二级保护区的水质不得低于国家规定的</w:t>
      </w:r>
      <w:r>
        <w:rPr>
          <w:rFonts w:hint="default" w:ascii="Times New Roman" w:hAnsi="Times New Roman" w:eastAsia="方正仿宋_GBK" w:cs="Times New Roman"/>
          <w:sz w:val="32"/>
          <w:szCs w:val="32"/>
          <w:highlight w:val="none"/>
        </w:rPr>
        <w:t>地面水</w:t>
      </w:r>
      <w:r>
        <w:rPr>
          <w:rFonts w:hint="default" w:ascii="Times New Roman" w:hAnsi="Times New Roman" w:eastAsia="方正仿宋_GBK" w:cs="Times New Roman"/>
          <w:sz w:val="32"/>
          <w:szCs w:val="32"/>
          <w:highlight w:val="none"/>
          <w:lang w:eastAsia="zh-CN"/>
        </w:rPr>
        <w:t>Ⅲ</w:t>
      </w:r>
      <w:r>
        <w:rPr>
          <w:rFonts w:hint="default" w:ascii="Times New Roman" w:hAnsi="Times New Roman" w:eastAsia="方正仿宋_GBK" w:cs="Times New Roman"/>
          <w:sz w:val="32"/>
          <w:szCs w:val="32"/>
        </w:rPr>
        <w:t>类环境质量标准。</w:t>
      </w:r>
    </w:p>
    <w:p>
      <w:pPr>
        <w:numPr>
          <w:ilvl w:val="0"/>
          <w:numId w:val="1"/>
        </w:numPr>
        <w:adjustRightInd w:val="0"/>
        <w:snapToGrid w:val="0"/>
        <w:spacing w:line="560"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准保护区的水质按国家规定的</w:t>
      </w:r>
      <w:r>
        <w:rPr>
          <w:rFonts w:hint="default" w:ascii="Times New Roman" w:hAnsi="Times New Roman" w:eastAsia="方正仿宋_GBK" w:cs="Times New Roman"/>
          <w:sz w:val="32"/>
          <w:szCs w:val="32"/>
          <w:highlight w:val="none"/>
        </w:rPr>
        <w:t>地面水</w:t>
      </w:r>
      <w:r>
        <w:rPr>
          <w:rFonts w:hint="default" w:ascii="Times New Roman" w:hAnsi="Times New Roman" w:eastAsia="方正仿宋_GBK" w:cs="Times New Roman"/>
          <w:sz w:val="32"/>
          <w:szCs w:val="32"/>
        </w:rPr>
        <w:t>环境质量标准中的</w:t>
      </w:r>
      <w:r>
        <w:rPr>
          <w:rFonts w:hint="default" w:ascii="Times New Roman" w:hAnsi="Times New Roman" w:eastAsia="方正仿宋_GBK" w:cs="Times New Roman"/>
          <w:sz w:val="32"/>
          <w:szCs w:val="32"/>
          <w:highlight w:val="none"/>
          <w:lang w:eastAsia="zh-CN"/>
        </w:rPr>
        <w:t>Ⅲ</w:t>
      </w:r>
      <w:r>
        <w:rPr>
          <w:rFonts w:hint="default" w:ascii="Times New Roman" w:hAnsi="Times New Roman" w:eastAsia="方正仿宋_GBK" w:cs="Times New Roman"/>
          <w:sz w:val="32"/>
          <w:szCs w:val="32"/>
        </w:rPr>
        <w:t>类标准控制。</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（三）水源地保护措施</w:t>
      </w:r>
    </w:p>
    <w:p>
      <w:pPr>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highlight w:val="none"/>
        </w:rPr>
        <w:t>地面水</w:t>
      </w:r>
      <w:r>
        <w:rPr>
          <w:rFonts w:hint="default" w:ascii="Times New Roman" w:hAnsi="Times New Roman" w:eastAsia="方正仿宋_GBK" w:cs="Times New Roman"/>
          <w:b/>
          <w:bCs/>
          <w:sz w:val="32"/>
          <w:szCs w:val="32"/>
        </w:rPr>
        <w:t>饮用水水源保护措施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饮用水地表水源各级保护区必须遵守下列规定：</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（1）禁止一切破坏水环境生态平衡的活动以及破坏水源林、护岸林、与水源保护相关植被的活动。</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（2）禁止向水域倾倒工业废渣、城市垃圾、粪便</w:t>
      </w:r>
      <w:r>
        <w:rPr>
          <w:rFonts w:hint="default" w:ascii="Times New Roman" w:hAnsi="Times New Roman" w:eastAsia="方正仿宋_GBK" w:cs="Times New Roman"/>
          <w:sz w:val="32"/>
          <w:szCs w:val="32"/>
          <w:highlight w:val="none"/>
        </w:rPr>
        <w:t>及其它</w:t>
      </w:r>
      <w:r>
        <w:rPr>
          <w:rFonts w:hint="default" w:ascii="Times New Roman" w:hAnsi="Times New Roman" w:eastAsia="方正仿宋_GBK" w:cs="Times New Roman"/>
          <w:sz w:val="32"/>
          <w:szCs w:val="32"/>
        </w:rPr>
        <w:t>废弃物。</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（3）运输有毒有害物质、油类、粪便的船舶和车辆一般不准进入保护区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必须进入者应事先申请并经有关部门批准、登记并设置防渗、防溢、防漏设施。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（4）禁止使用剧毒和高残留农药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不得滥用化肥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不得使用炸药、毒品捕杀鱼类。</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（5）应按照国家规定设置饮用水水源地保护标志。</w:t>
      </w:r>
    </w:p>
    <w:p>
      <w:pPr>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highlight w:val="none"/>
        </w:rPr>
        <w:t>地面水</w:t>
      </w:r>
      <w:r>
        <w:rPr>
          <w:rFonts w:hint="default" w:ascii="Times New Roman" w:hAnsi="Times New Roman" w:eastAsia="方正仿宋_GBK" w:cs="Times New Roman"/>
          <w:b/>
          <w:bCs/>
          <w:sz w:val="32"/>
          <w:szCs w:val="32"/>
        </w:rPr>
        <w:t>饮用水水源一级保护区保护措施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highlight w:val="none"/>
        </w:rPr>
        <w:t>地面水</w:t>
      </w:r>
      <w:r>
        <w:rPr>
          <w:rFonts w:hint="default" w:ascii="Times New Roman" w:hAnsi="Times New Roman" w:eastAsia="方正仿宋_GBK" w:cs="Times New Roman"/>
          <w:sz w:val="32"/>
          <w:szCs w:val="32"/>
        </w:rPr>
        <w:t>饮用水水源一级保护区内禁止从事下列活动：</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（1）禁止新建、扩建与供水设施和保护水源无关的建设项目；</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（2）禁止向水域排放污水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已设置的排污口必须拆除；</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（3）不得设置与供水需要无关的码头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禁止停靠船舶；</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（4）禁止堆置和存放工业废渣、城市垃圾、粪便和其他废弃物；</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（5）禁止设置油库；</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（6）禁止从事种植、放养禽畜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严格控制网箱养殖活动；</w:t>
      </w:r>
    </w:p>
    <w:p>
      <w:pPr>
        <w:adjustRightInd w:val="0"/>
        <w:snapToGrid w:val="0"/>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（7）禁止可能污染水源的旅游活动和其他活动。</w:t>
      </w:r>
    </w:p>
    <w:p>
      <w:pPr>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3</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highlight w:val="none"/>
        </w:rPr>
        <w:t>地面水</w:t>
      </w:r>
      <w:r>
        <w:rPr>
          <w:rFonts w:hint="default" w:ascii="Times New Roman" w:hAnsi="Times New Roman" w:eastAsia="方正仿宋_GBK" w:cs="Times New Roman"/>
          <w:b/>
          <w:bCs/>
          <w:sz w:val="32"/>
          <w:szCs w:val="32"/>
        </w:rPr>
        <w:t>饮用水水源二级保护区保护措施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highlight w:val="none"/>
        </w:rPr>
        <w:t>地面水</w:t>
      </w:r>
      <w:r>
        <w:rPr>
          <w:rFonts w:hint="default" w:ascii="Times New Roman" w:hAnsi="Times New Roman" w:eastAsia="方正仿宋_GBK" w:cs="Times New Roman"/>
          <w:sz w:val="32"/>
          <w:szCs w:val="32"/>
        </w:rPr>
        <w:t>饮用水源二级保护区内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必须遵守下列规定：</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（1）不得新建扩建严重污染水域的建设项目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改建和技术改造项目必须削减污染物排放量。</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（2）已有的排污口必须削减污染物排放总量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保证保护区内水质符合</w:t>
      </w:r>
      <w:r>
        <w:rPr>
          <w:rFonts w:hint="default" w:ascii="Times New Roman" w:hAnsi="Times New Roman" w:eastAsia="方正仿宋_GBK" w:cs="Times New Roman"/>
          <w:sz w:val="32"/>
          <w:szCs w:val="32"/>
          <w:highlight w:val="none"/>
        </w:rPr>
        <w:t>地面水</w:t>
      </w:r>
      <w:r>
        <w:rPr>
          <w:rFonts w:hint="default" w:ascii="Times New Roman" w:hAnsi="Times New Roman" w:eastAsia="方正仿宋_GBK" w:cs="Times New Roman"/>
          <w:sz w:val="32"/>
          <w:szCs w:val="32"/>
          <w:highlight w:val="none"/>
          <w:lang w:eastAsia="zh-CN"/>
        </w:rPr>
        <w:t>Ⅲ</w:t>
      </w:r>
      <w:r>
        <w:rPr>
          <w:rFonts w:hint="default" w:ascii="Times New Roman" w:hAnsi="Times New Roman" w:eastAsia="方正仿宋_GBK" w:cs="Times New Roman"/>
          <w:sz w:val="32"/>
          <w:szCs w:val="32"/>
        </w:rPr>
        <w:t>类环境质量标准。</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（3）严格控制网箱养殖规模。</w:t>
      </w:r>
    </w:p>
    <w:p>
      <w:pPr>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4</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水源地保护措施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为加强所辖水库水源地保护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建议采取如下措施：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（1）采取</w:t>
      </w:r>
      <w:r>
        <w:rPr>
          <w:rFonts w:hint="default" w:ascii="Times New Roman" w:hAnsi="Times New Roman" w:eastAsia="方正仿宋_GBK" w:cs="Times New Roman"/>
          <w:sz w:val="32"/>
          <w:szCs w:val="32"/>
          <w:highlight w:val="none"/>
          <w:lang w:eastAsia="zh-CN"/>
        </w:rPr>
        <w:t>全天候</w:t>
      </w:r>
      <w:r>
        <w:rPr>
          <w:rFonts w:hint="default" w:ascii="Times New Roman" w:hAnsi="Times New Roman" w:eastAsia="方正仿宋_GBK" w:cs="Times New Roman"/>
          <w:sz w:val="32"/>
          <w:szCs w:val="32"/>
        </w:rPr>
        <w:t>巡查。水库管理人员实行错时交叉巡查方式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昼夜巡查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有效控制外来车辆和人员进入库区。</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（2）水质监测工作。对水库水质监测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除了按照要求每月进行1次11项常规监测外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在每年的4-6月份在水草生长旺季进行加密监测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实行重点、定位跟踪监测。</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（3）采取生物治理。根据水库水质情况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合理放养投放草食性鱼苗</w:t>
      </w:r>
      <w:r>
        <w:rPr>
          <w:rFonts w:hint="default" w:ascii="Times New Roman" w:hAnsi="Times New Roman" w:eastAsia="方正仿宋_GBK" w:cs="Times New Roman"/>
          <w:sz w:val="32"/>
          <w:szCs w:val="32"/>
          <w:lang w:eastAsia="zh-CN"/>
        </w:rPr>
        <w:t>，提升</w:t>
      </w:r>
      <w:r>
        <w:rPr>
          <w:rFonts w:hint="default" w:ascii="Times New Roman" w:hAnsi="Times New Roman" w:eastAsia="方正仿宋_GBK" w:cs="Times New Roman"/>
          <w:sz w:val="32"/>
          <w:szCs w:val="32"/>
        </w:rPr>
        <w:t>水库生物多样性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可以有效地控制水草繁殖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highlight w:val="none"/>
          <w:lang w:eastAsia="zh-CN"/>
        </w:rPr>
        <w:t>pH值</w:t>
      </w:r>
      <w:r>
        <w:rPr>
          <w:rFonts w:hint="default" w:ascii="Times New Roman" w:hAnsi="Times New Roman" w:eastAsia="方正仿宋_GBK" w:cs="Times New Roman"/>
          <w:sz w:val="32"/>
          <w:szCs w:val="32"/>
        </w:rPr>
        <w:t>、高锰酸盐指数、溶解氧等都可以得到控制</w:t>
      </w:r>
      <w:r>
        <w:rPr>
          <w:rFonts w:hint="default" w:ascii="Times New Roman" w:hAnsi="Times New Roman" w:eastAsia="方正仿宋_GBK" w:cs="Times New Roman"/>
          <w:sz w:val="32"/>
          <w:szCs w:val="32"/>
          <w:lang w:eastAsia="zh-CN"/>
        </w:rPr>
        <w:t>，有效防止</w:t>
      </w:r>
      <w:r>
        <w:rPr>
          <w:rFonts w:hint="default" w:ascii="Times New Roman" w:hAnsi="Times New Roman" w:eastAsia="方正仿宋_GBK" w:cs="Times New Roman"/>
          <w:sz w:val="32"/>
          <w:szCs w:val="32"/>
        </w:rPr>
        <w:t>草型富营养化和藻型富营养化。</w:t>
      </w:r>
    </w:p>
    <w:p>
      <w:pPr>
        <w:spacing w:line="560" w:lineRule="exact"/>
        <w:ind w:firstLine="640"/>
        <w:rPr>
          <w:rFonts w:hint="default" w:ascii="Times New Roman" w:hAnsi="Times New Roman" w:cs="Times New Roman"/>
        </w:rPr>
      </w:pPr>
      <w:r>
        <w:rPr>
          <w:rFonts w:hint="default" w:ascii="Times New Roman" w:hAnsi="Times New Roman" w:eastAsia="方正仿宋_GBK" w:cs="Times New Roman"/>
          <w:sz w:val="32"/>
          <w:szCs w:val="32"/>
        </w:rPr>
        <w:t>（4）采取动态流动方法保护水质。在丰水期时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根据雨量情况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每年对各水库进行一次排放。</w:t>
      </w:r>
      <w:bookmarkStart w:id="194" w:name="_Toc59975792"/>
      <w:bookmarkStart w:id="195" w:name="_Toc2657"/>
    </w:p>
    <w:p>
      <w:pPr>
        <w:pStyle w:val="4"/>
        <w:spacing w:before="0" w:after="0" w:line="560" w:lineRule="exact"/>
        <w:ind w:left="0" w:leftChars="0" w:firstLine="0" w:firstLineChars="0"/>
        <w:jc w:val="center"/>
        <w:rPr>
          <w:rFonts w:hint="default" w:ascii="Times New Roman" w:hAnsi="Times New Roman" w:cs="Times New Roman"/>
          <w:b/>
          <w:bCs/>
          <w:sz w:val="32"/>
          <w:szCs w:val="32"/>
        </w:rPr>
      </w:pPr>
    </w:p>
    <w:p>
      <w:pPr>
        <w:pStyle w:val="4"/>
        <w:spacing w:before="0" w:after="0" w:line="560" w:lineRule="exact"/>
        <w:ind w:left="0" w:leftChars="0" w:firstLine="0" w:firstLineChars="0"/>
        <w:jc w:val="center"/>
        <w:rPr>
          <w:rFonts w:hint="default" w:ascii="Times New Roman" w:hAnsi="Times New Roman" w:cs="Times New Roman"/>
          <w:b/>
          <w:bCs/>
          <w:sz w:val="32"/>
          <w:szCs w:val="32"/>
        </w:rPr>
      </w:pPr>
      <w:bookmarkStart w:id="196" w:name="_Toc4777"/>
      <w:r>
        <w:rPr>
          <w:rFonts w:hint="default" w:ascii="Times New Roman" w:hAnsi="Times New Roman" w:eastAsia="方正小标宋_GBK" w:cs="Times New Roman"/>
          <w:b w:val="0"/>
          <w:bCs w:val="0"/>
          <w:sz w:val="44"/>
          <w:szCs w:val="44"/>
        </w:rPr>
        <w:t>第六章 水厂规划</w:t>
      </w:r>
      <w:bookmarkEnd w:id="194"/>
      <w:bookmarkEnd w:id="195"/>
      <w:bookmarkEnd w:id="196"/>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197" w:name="_Toc9766"/>
      <w:bookmarkStart w:id="198" w:name="_Toc4940"/>
      <w:bookmarkStart w:id="199" w:name="_Toc59975793"/>
      <w:r>
        <w:rPr>
          <w:rFonts w:hint="default" w:ascii="Times New Roman" w:hAnsi="Times New Roman" w:eastAsia="方正黑体_GBK" w:cs="Times New Roman"/>
          <w:b w:val="0"/>
          <w:bCs/>
          <w:kern w:val="2"/>
          <w:sz w:val="32"/>
          <w:szCs w:val="32"/>
        </w:rPr>
        <w:t>一、水厂规划规模及实施时序</w:t>
      </w:r>
      <w:bookmarkEnd w:id="197"/>
      <w:bookmarkEnd w:id="198"/>
      <w:bookmarkEnd w:id="199"/>
    </w:p>
    <w:p>
      <w:pPr>
        <w:spacing w:line="560" w:lineRule="exact"/>
        <w:ind w:firstLine="640"/>
        <w:rPr>
          <w:rFonts w:hint="default" w:ascii="Times New Roman" w:hAnsi="Times New Roman" w:eastAsia="方正楷体_GBK" w:cs="Times New Roman"/>
          <w:sz w:val="32"/>
          <w:szCs w:val="32"/>
        </w:rPr>
      </w:pPr>
      <w:bookmarkStart w:id="200" w:name="_Toc59975794"/>
      <w:bookmarkStart w:id="201" w:name="_Toc11461"/>
      <w:r>
        <w:rPr>
          <w:rFonts w:hint="default" w:ascii="Times New Roman" w:hAnsi="Times New Roman" w:eastAsia="方正楷体_GBK" w:cs="Times New Roman"/>
          <w:sz w:val="32"/>
          <w:szCs w:val="32"/>
        </w:rPr>
        <w:t>（一）新建/改扩建水厂</w:t>
      </w:r>
      <w:bookmarkEnd w:id="200"/>
      <w:bookmarkEnd w:id="201"/>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新建青杠水厂（2022-2025年）</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新建青杠水厂供水规模2.0万吨/日。常规处理工艺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规划新建水处理构（建）筑物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综合楼等附属建筑物；新建配水管道</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至青杠工业园区输水管道等。</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正阳水厂二期（2025-2026年）</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正阳水厂二期扩建供水规模2.0万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/d。常规处理工艺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规划新建网格絮凝-斜管沉淀池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清水池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反冲洗滤池-反冲洗泵房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废水回收水池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排泥水池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重力式浓缩水池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污泥脱水机房等。</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正阳水厂三期（2028-2029年）</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正阳水厂三期扩建供水规模2.0万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/d。常规处理工艺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规划新建网格絮凝-斜管沉淀池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反冲洗滤池-反冲洗泵房等；</w:t>
      </w:r>
      <w:r>
        <w:rPr>
          <w:rFonts w:hint="default" w:ascii="Times New Roman" w:hAnsi="Times New Roman" w:eastAsia="方正仿宋_GBK" w:cs="Times New Roman"/>
          <w:sz w:val="32"/>
          <w:szCs w:val="32"/>
          <w:lang w:eastAsia="zh-CN"/>
        </w:rPr>
        <w:t>对</w:t>
      </w:r>
      <w:r>
        <w:rPr>
          <w:rFonts w:hint="default" w:ascii="Times New Roman" w:hAnsi="Times New Roman" w:eastAsia="方正仿宋_GBK" w:cs="Times New Roman"/>
          <w:sz w:val="32"/>
          <w:szCs w:val="32"/>
        </w:rPr>
        <w:t>正阳水厂出厂水管</w:t>
      </w:r>
      <w:r>
        <w:rPr>
          <w:rFonts w:hint="default" w:ascii="Times New Roman" w:hAnsi="Times New Roman" w:eastAsia="方正仿宋_GBK" w:cs="Times New Roman"/>
          <w:sz w:val="32"/>
          <w:szCs w:val="32"/>
          <w:lang w:eastAsia="zh-CN"/>
        </w:rPr>
        <w:t>进行改造</w:t>
      </w:r>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老城区三元宫闲置流程改造（2030-2031年）</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lang w:eastAsia="zh-CN"/>
        </w:rPr>
        <w:t>对</w:t>
      </w:r>
      <w:r>
        <w:rPr>
          <w:rFonts w:hint="default" w:ascii="Times New Roman" w:hAnsi="Times New Roman" w:eastAsia="方正仿宋_GBK" w:cs="Times New Roman"/>
          <w:sz w:val="32"/>
          <w:szCs w:val="32"/>
        </w:rPr>
        <w:t>三元宫水厂闲置一流程</w:t>
      </w:r>
      <w:r>
        <w:rPr>
          <w:rFonts w:hint="default" w:ascii="Times New Roman" w:hAnsi="Times New Roman" w:eastAsia="方正仿宋_GBK" w:cs="Times New Roman"/>
          <w:sz w:val="32"/>
          <w:szCs w:val="32"/>
          <w:lang w:eastAsia="zh-CN"/>
        </w:rPr>
        <w:t>进行</w:t>
      </w:r>
      <w:r>
        <w:rPr>
          <w:rFonts w:hint="default" w:ascii="Times New Roman" w:hAnsi="Times New Roman" w:eastAsia="方正仿宋_GBK" w:cs="Times New Roman"/>
          <w:sz w:val="32"/>
          <w:szCs w:val="32"/>
        </w:rPr>
        <w:t>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扩容新增供水规模2万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/d。常规处理工艺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主要新建网格反应池、斜管沉淀池、无阀滤池、清水池、加药间、加氯间等水处理构（建）筑物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综合楼、机修间、车库等附属建筑物。</w:t>
      </w:r>
    </w:p>
    <w:p>
      <w:pPr>
        <w:spacing w:line="560" w:lineRule="exact"/>
        <w:ind w:firstLine="640"/>
        <w:rPr>
          <w:rFonts w:hint="default" w:ascii="Times New Roman" w:hAnsi="Times New Roman" w:eastAsia="方正仿宋_GBK" w:cs="Times New Roman"/>
          <w:sz w:val="32"/>
          <w:szCs w:val="32"/>
        </w:rPr>
      </w:pPr>
      <w:bookmarkStart w:id="202" w:name="_Toc59975797"/>
      <w:bookmarkStart w:id="203" w:name="_Toc8560"/>
      <w:bookmarkStart w:id="204" w:name="_Toc60430047"/>
      <w:r>
        <w:rPr>
          <w:rFonts w:hint="default" w:ascii="Times New Roman" w:hAnsi="Times New Roman" w:eastAsia="方正仿宋_GBK" w:cs="Times New Roman"/>
          <w:b/>
          <w:bCs/>
          <w:sz w:val="32"/>
          <w:szCs w:val="32"/>
        </w:rPr>
        <w:t>5</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舟白水厂提标升级改造（2028-2029）</w:t>
      </w:r>
      <w:bookmarkEnd w:id="202"/>
      <w:bookmarkEnd w:id="203"/>
      <w:bookmarkEnd w:id="204"/>
      <w:r>
        <w:rPr>
          <w:rFonts w:hint="default" w:ascii="Times New Roman" w:hAnsi="Times New Roman" w:eastAsia="方正仿宋_GBK" w:cs="Times New Roman"/>
          <w:b/>
          <w:bCs/>
          <w:sz w:val="32"/>
          <w:szCs w:val="32"/>
          <w:lang w:eastAsia="zh-CN"/>
        </w:rPr>
        <w:t>。</w:t>
      </w:r>
      <w:bookmarkStart w:id="205" w:name="_Toc60430048"/>
      <w:bookmarkStart w:id="206" w:name="_Toc14160"/>
      <w:bookmarkStart w:id="207" w:name="_Toc59975798"/>
      <w:r>
        <w:rPr>
          <w:rFonts w:hint="default" w:ascii="Times New Roman" w:hAnsi="Times New Roman" w:eastAsia="方正仿宋_GBK" w:cs="Times New Roman"/>
          <w:sz w:val="32"/>
          <w:szCs w:val="32"/>
        </w:rPr>
        <w:t>据预测用水规模提高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舟白片区在2029年城市需水量突破2万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舟白水厂现有制水规模2万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将</w:t>
      </w:r>
      <w:r>
        <w:rPr>
          <w:rFonts w:hint="default" w:ascii="Times New Roman" w:hAnsi="Times New Roman" w:eastAsia="方正仿宋_GBK" w:cs="Times New Roman"/>
          <w:sz w:val="32"/>
          <w:szCs w:val="32"/>
        </w:rPr>
        <w:t>不能满足2029年的用水需求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为</w:t>
      </w:r>
      <w:r>
        <w:rPr>
          <w:rFonts w:hint="default" w:ascii="Times New Roman" w:hAnsi="Times New Roman" w:eastAsia="方正仿宋_GBK" w:cs="Times New Roman"/>
          <w:sz w:val="32"/>
          <w:szCs w:val="32"/>
          <w:lang w:eastAsia="zh-CN"/>
        </w:rPr>
        <w:t>保障</w:t>
      </w:r>
      <w:r>
        <w:rPr>
          <w:rFonts w:hint="default" w:ascii="Times New Roman" w:hAnsi="Times New Roman" w:eastAsia="方正仿宋_GBK" w:cs="Times New Roman"/>
          <w:sz w:val="32"/>
          <w:szCs w:val="32"/>
        </w:rPr>
        <w:t>2029年城区用水需求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需在2028</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rPr>
        <w:t>启动舟白水厂提标升级改造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新增制水规模2.0万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bookmarkEnd w:id="205"/>
      <w:bookmarkEnd w:id="206"/>
      <w:bookmarkEnd w:id="207"/>
    </w:p>
    <w:p>
      <w:pPr>
        <w:spacing w:line="560" w:lineRule="exact"/>
        <w:ind w:firstLine="640"/>
        <w:rPr>
          <w:rFonts w:hint="default" w:ascii="Times New Roman" w:hAnsi="Times New Roman" w:eastAsia="方正楷体_GBK" w:cs="Times New Roman"/>
          <w:sz w:val="32"/>
          <w:szCs w:val="32"/>
        </w:rPr>
      </w:pPr>
      <w:bookmarkStart w:id="208" w:name="_Toc59975795"/>
      <w:bookmarkStart w:id="209" w:name="_Toc16971"/>
      <w:r>
        <w:rPr>
          <w:rFonts w:hint="default" w:ascii="Times New Roman" w:hAnsi="Times New Roman" w:eastAsia="方正楷体_GBK" w:cs="Times New Roman"/>
          <w:sz w:val="32"/>
          <w:szCs w:val="32"/>
        </w:rPr>
        <w:t>（二）水厂技术改造</w:t>
      </w:r>
      <w:bookmarkEnd w:id="208"/>
      <w:bookmarkEnd w:id="209"/>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三元宫水厂新建废水脱泥处理系统（2021</w:t>
      </w:r>
      <w:r>
        <w:rPr>
          <w:rFonts w:hint="default" w:ascii="Times New Roman" w:hAnsi="Times New Roman" w:eastAsia="方正仿宋_GBK" w:cs="Times New Roman"/>
          <w:b/>
          <w:bCs/>
          <w:sz w:val="32"/>
          <w:szCs w:val="32"/>
          <w:highlight w:val="none"/>
          <w:lang w:eastAsia="zh-CN"/>
        </w:rPr>
        <w:t>—2022年</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三元宫水厂按旧标准和规范建设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无</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处理工艺。为应对环保风险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近期新增</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按5万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/d制水能力处理废水能力进行建设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主要设施包括泥水调节池、回收水池、浓缩池及污泥脱水间。</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处理系统用地已预留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满足用地需求。</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白家湾水厂新建废水脱泥处理系统（2021</w:t>
      </w:r>
      <w:r>
        <w:rPr>
          <w:rFonts w:hint="default" w:ascii="Times New Roman" w:hAnsi="Times New Roman" w:eastAsia="方正仿宋_GBK" w:cs="Times New Roman"/>
          <w:b/>
          <w:bCs/>
          <w:sz w:val="32"/>
          <w:szCs w:val="32"/>
          <w:highlight w:val="none"/>
          <w:lang w:eastAsia="zh-CN"/>
        </w:rPr>
        <w:t>—2022年</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白家湾水厂按旧标准和规范建设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无</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处理工艺。为应对环保风险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近期新增</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按3万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/d制水能力处理废水能力进行建设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主要建设内容及设施包括浓缩池及污泥脱水间。</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处理系统用地已预留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满足用地需求。</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白家湾提标升级改造（2022-2025年）</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一是规划建设深度处理工艺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臭氧接触池、炭滤池及臭氧发生间等深度处理设施；二是现状水厂自动化程度较低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根据水</w:t>
      </w:r>
      <w:r>
        <w:rPr>
          <w:rFonts w:hint="default" w:ascii="Times New Roman" w:hAnsi="Times New Roman" w:eastAsia="方正仿宋_GBK" w:cs="Times New Roman"/>
          <w:sz w:val="32"/>
          <w:szCs w:val="32"/>
          <w:highlight w:val="none"/>
        </w:rPr>
        <w:t>厂的处理工艺增加相应的</w:t>
      </w:r>
      <w:r>
        <w:rPr>
          <w:rFonts w:hint="default" w:ascii="Times New Roman" w:hAnsi="Times New Roman" w:eastAsia="方正仿宋_GBK" w:cs="Times New Roman"/>
          <w:sz w:val="32"/>
          <w:szCs w:val="32"/>
        </w:rPr>
        <w:t>自动化生产设备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提高厂区的自动化程度。</w:t>
      </w:r>
    </w:p>
    <w:p>
      <w:pPr>
        <w:spacing w:line="560" w:lineRule="exact"/>
        <w:ind w:firstLine="0" w:firstLineChars="0"/>
        <w:jc w:val="center"/>
        <w:rPr>
          <w:rFonts w:hint="default" w:ascii="Times New Roman" w:hAnsi="Times New Roman" w:eastAsia="方正仿宋_GBK" w:cs="Times New Roman"/>
          <w:b/>
          <w:spacing w:val="-6"/>
          <w:sz w:val="32"/>
          <w:szCs w:val="32"/>
        </w:rPr>
      </w:pPr>
      <w:bookmarkStart w:id="210" w:name="_Toc74734931"/>
      <w:bookmarkStart w:id="211" w:name="_Toc60430050"/>
      <w:bookmarkStart w:id="212" w:name="_Toc17980"/>
      <w:bookmarkStart w:id="213" w:name="_Toc59975799"/>
      <w:r>
        <w:rPr>
          <w:rFonts w:hint="default" w:ascii="Times New Roman" w:hAnsi="Times New Roman" w:eastAsia="方正仿宋_GBK" w:cs="Times New Roman"/>
          <w:b/>
          <w:spacing w:val="-6"/>
          <w:sz w:val="32"/>
          <w:szCs w:val="32"/>
        </w:rPr>
        <w:t>表6-1 水厂规模表</w:t>
      </w:r>
      <w:bookmarkEnd w:id="210"/>
      <w:bookmarkEnd w:id="211"/>
      <w:bookmarkEnd w:id="212"/>
      <w:bookmarkEnd w:id="213"/>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425"/>
        <w:gridCol w:w="1545"/>
        <w:gridCol w:w="795"/>
        <w:gridCol w:w="1065"/>
        <w:gridCol w:w="1170"/>
        <w:gridCol w:w="1515"/>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54"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1425"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水厂名称</w:t>
            </w:r>
          </w:p>
        </w:tc>
        <w:tc>
          <w:tcPr>
            <w:tcW w:w="1545"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服务区域</w:t>
            </w:r>
          </w:p>
        </w:tc>
        <w:tc>
          <w:tcPr>
            <w:tcW w:w="3030" w:type="dxa"/>
            <w:gridSpan w:val="3"/>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水厂规模（万</w:t>
            </w:r>
            <w:r>
              <w:rPr>
                <w:rFonts w:hint="default" w:ascii="Times New Roman" w:hAnsi="Times New Roman" w:eastAsia="方正仿宋_GBK" w:cs="Times New Roman"/>
                <w:szCs w:val="28"/>
                <w:highlight w:val="none"/>
              </w:rPr>
              <w:t>m3</w:t>
            </w:r>
            <w:r>
              <w:rPr>
                <w:rFonts w:hint="default" w:ascii="Times New Roman" w:hAnsi="Times New Roman" w:eastAsia="方正仿宋_GBK" w:cs="Times New Roman"/>
                <w:szCs w:val="28"/>
              </w:rPr>
              <w:t>/d）</w:t>
            </w:r>
          </w:p>
        </w:tc>
        <w:tc>
          <w:tcPr>
            <w:tcW w:w="1515"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建设时序</w:t>
            </w:r>
          </w:p>
          <w:p>
            <w:pPr>
              <w:spacing w:line="400" w:lineRule="exact"/>
              <w:ind w:left="-140" w:leftChars="-50" w:right="-140" w:rightChars="-50" w:firstLine="0" w:firstLineChars="0"/>
              <w:jc w:val="center"/>
              <w:rPr>
                <w:rFonts w:hint="default" w:ascii="Times New Roman" w:hAnsi="Times New Roman" w:eastAsia="方正仿宋_GBK" w:cs="Times New Roman"/>
                <w:szCs w:val="28"/>
                <w:lang w:eastAsia="zh-CN"/>
              </w:rPr>
            </w:pPr>
            <w:r>
              <w:rPr>
                <w:rFonts w:hint="default" w:ascii="Times New Roman" w:hAnsi="Times New Roman" w:eastAsia="方正仿宋_GBK" w:cs="Times New Roman"/>
                <w:szCs w:val="28"/>
                <w:lang w:eastAsia="zh-CN"/>
              </w:rPr>
              <w:t>（年）</w:t>
            </w:r>
          </w:p>
        </w:tc>
        <w:tc>
          <w:tcPr>
            <w:tcW w:w="792" w:type="dxa"/>
            <w:vMerge w:val="restart"/>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1425"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1545"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79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现状</w:t>
            </w:r>
          </w:p>
        </w:tc>
        <w:tc>
          <w:tcPr>
            <w:tcW w:w="1065"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2025年规划</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2035年展望</w:t>
            </w:r>
          </w:p>
        </w:tc>
        <w:tc>
          <w:tcPr>
            <w:tcW w:w="1515"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792" w:type="dxa"/>
            <w:vMerge w:val="continue"/>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142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白家湾水厂</w:t>
            </w:r>
          </w:p>
        </w:tc>
        <w:tc>
          <w:tcPr>
            <w:tcW w:w="154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老城片区</w:t>
            </w:r>
          </w:p>
        </w:tc>
        <w:tc>
          <w:tcPr>
            <w:tcW w:w="79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06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17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51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7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42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正阳水厂</w:t>
            </w:r>
          </w:p>
        </w:tc>
        <w:tc>
          <w:tcPr>
            <w:tcW w:w="154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正阳片区、冯家片区</w:t>
            </w:r>
          </w:p>
        </w:tc>
        <w:tc>
          <w:tcPr>
            <w:tcW w:w="79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06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17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w:t>
            </w:r>
          </w:p>
        </w:tc>
        <w:tc>
          <w:tcPr>
            <w:tcW w:w="151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2025-2029</w:t>
            </w:r>
          </w:p>
        </w:tc>
        <w:tc>
          <w:tcPr>
            <w:tcW w:w="7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42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三元宫水厂</w:t>
            </w:r>
          </w:p>
        </w:tc>
        <w:tc>
          <w:tcPr>
            <w:tcW w:w="154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老城片区</w:t>
            </w:r>
          </w:p>
        </w:tc>
        <w:tc>
          <w:tcPr>
            <w:tcW w:w="79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06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17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151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2030-2031</w:t>
            </w:r>
          </w:p>
        </w:tc>
        <w:tc>
          <w:tcPr>
            <w:tcW w:w="7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w:t>
            </w:r>
          </w:p>
        </w:tc>
        <w:tc>
          <w:tcPr>
            <w:tcW w:w="142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青杠水厂</w:t>
            </w:r>
          </w:p>
        </w:tc>
        <w:tc>
          <w:tcPr>
            <w:tcW w:w="154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青杠片区</w:t>
            </w:r>
          </w:p>
        </w:tc>
        <w:tc>
          <w:tcPr>
            <w:tcW w:w="79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06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17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51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2022-2025</w:t>
            </w:r>
          </w:p>
        </w:tc>
        <w:tc>
          <w:tcPr>
            <w:tcW w:w="7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142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舟白水厂</w:t>
            </w:r>
          </w:p>
        </w:tc>
        <w:tc>
          <w:tcPr>
            <w:tcW w:w="154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舟白片区</w:t>
            </w:r>
          </w:p>
        </w:tc>
        <w:tc>
          <w:tcPr>
            <w:tcW w:w="79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06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17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w:t>
            </w:r>
          </w:p>
        </w:tc>
        <w:tc>
          <w:tcPr>
            <w:tcW w:w="151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2028-2029</w:t>
            </w:r>
          </w:p>
        </w:tc>
        <w:tc>
          <w:tcPr>
            <w:tcW w:w="7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142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154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79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10</w:t>
            </w:r>
          </w:p>
        </w:tc>
        <w:tc>
          <w:tcPr>
            <w:tcW w:w="106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12</w:t>
            </w:r>
          </w:p>
        </w:tc>
        <w:tc>
          <w:tcPr>
            <w:tcW w:w="117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w:t>
            </w:r>
          </w:p>
        </w:tc>
        <w:tc>
          <w:tcPr>
            <w:tcW w:w="1515"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7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bl>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14" w:name="_Toc7278"/>
      <w:bookmarkStart w:id="215" w:name="_Toc59975800"/>
      <w:bookmarkStart w:id="216" w:name="_Toc4217"/>
      <w:r>
        <w:rPr>
          <w:rFonts w:hint="default" w:ascii="Times New Roman" w:hAnsi="Times New Roman" w:eastAsia="方正黑体_GBK" w:cs="Times New Roman"/>
          <w:b w:val="0"/>
          <w:bCs/>
          <w:kern w:val="2"/>
          <w:sz w:val="32"/>
          <w:szCs w:val="32"/>
        </w:rPr>
        <w:t>二、水厂厂址规划及用地情况</w:t>
      </w:r>
      <w:bookmarkEnd w:id="214"/>
      <w:bookmarkEnd w:id="215"/>
      <w:bookmarkEnd w:id="216"/>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近期规划新建青杠水厂拟选址位</w:t>
      </w:r>
      <w:r>
        <w:rPr>
          <w:rFonts w:hint="default" w:ascii="Times New Roman" w:hAnsi="Times New Roman" w:eastAsia="方正仿宋_GBK" w:cs="Times New Roman"/>
          <w:sz w:val="32"/>
          <w:szCs w:val="32"/>
          <w:highlight w:val="none"/>
        </w:rPr>
        <w:t>于城南街道</w:t>
      </w:r>
      <w:r>
        <w:rPr>
          <w:rFonts w:hint="default" w:ascii="Times New Roman" w:hAnsi="Times New Roman" w:eastAsia="方正仿宋_GBK" w:cs="Times New Roman"/>
          <w:sz w:val="32"/>
          <w:szCs w:val="32"/>
          <w:highlight w:val="none"/>
          <w:lang w:eastAsia="zh-CN"/>
        </w:rPr>
        <w:t>的</w:t>
      </w:r>
      <w:r>
        <w:rPr>
          <w:rFonts w:hint="default" w:ascii="Times New Roman" w:hAnsi="Times New Roman" w:eastAsia="方正仿宋_GBK" w:cs="Times New Roman"/>
          <w:sz w:val="32"/>
          <w:szCs w:val="32"/>
          <w:highlight w:val="none"/>
        </w:rPr>
        <w:t>瓦窑堡水库外。</w:t>
      </w:r>
      <w:r>
        <w:rPr>
          <w:rFonts w:hint="default" w:ascii="Times New Roman" w:hAnsi="Times New Roman" w:eastAsia="方正仿宋_GBK" w:cs="Times New Roman"/>
          <w:sz w:val="32"/>
          <w:szCs w:val="32"/>
        </w:rPr>
        <w:t>建设用地控规调整工作已启动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水厂拟新增用地约20亩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建设用</w:t>
      </w:r>
      <w:r>
        <w:rPr>
          <w:rFonts w:hint="default" w:ascii="Times New Roman" w:hAnsi="Times New Roman" w:eastAsia="方正仿宋_GBK" w:cs="Times New Roman"/>
          <w:color w:val="auto"/>
          <w:sz w:val="32"/>
          <w:szCs w:val="32"/>
        </w:rPr>
        <w:t>地</w:t>
      </w:r>
      <w:r>
        <w:rPr>
          <w:rFonts w:hint="default" w:ascii="Times New Roman" w:hAnsi="Times New Roman" w:eastAsia="方正仿宋_GBK" w:cs="Times New Roman"/>
          <w:color w:val="auto"/>
          <w:sz w:val="32"/>
          <w:szCs w:val="32"/>
          <w:lang w:eastAsia="zh-CN"/>
        </w:rPr>
        <w:t>性质</w:t>
      </w:r>
      <w:r>
        <w:rPr>
          <w:rFonts w:hint="default" w:ascii="Times New Roman" w:hAnsi="Times New Roman" w:eastAsia="方正仿宋_GBK" w:cs="Times New Roman"/>
          <w:color w:val="auto"/>
          <w:sz w:val="32"/>
          <w:szCs w:val="32"/>
        </w:rPr>
        <w:t>为特</w:t>
      </w:r>
      <w:r>
        <w:rPr>
          <w:rFonts w:hint="default" w:ascii="Times New Roman" w:hAnsi="Times New Roman" w:eastAsia="方正仿宋_GBK" w:cs="Times New Roman"/>
          <w:sz w:val="32"/>
          <w:szCs w:val="32"/>
        </w:rPr>
        <w:t>殊用地。</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正阳水厂近期规划年扩建在现厂址预留地建设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不需新增用地。</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三元宫水</w:t>
      </w:r>
      <w:r>
        <w:rPr>
          <w:rFonts w:hint="default" w:ascii="Times New Roman" w:hAnsi="Times New Roman" w:eastAsia="方正仿宋_GBK" w:cs="Times New Roman"/>
          <w:sz w:val="32"/>
          <w:szCs w:val="32"/>
          <w:highlight w:val="none"/>
        </w:rPr>
        <w:t>厂远景</w:t>
      </w:r>
      <w:r>
        <w:rPr>
          <w:rFonts w:hint="default" w:ascii="Times New Roman" w:hAnsi="Times New Roman" w:eastAsia="方正仿宋_GBK" w:cs="Times New Roman"/>
          <w:sz w:val="32"/>
          <w:szCs w:val="32"/>
          <w:highlight w:val="none"/>
          <w:lang w:eastAsia="zh-CN"/>
        </w:rPr>
        <w:t>规划</w:t>
      </w:r>
      <w:r>
        <w:rPr>
          <w:rFonts w:hint="default" w:ascii="Times New Roman" w:hAnsi="Times New Roman" w:eastAsia="方正仿宋_GBK" w:cs="Times New Roman"/>
          <w:sz w:val="32"/>
          <w:szCs w:val="32"/>
          <w:highlight w:val="none"/>
        </w:rPr>
        <w:t>闲置一流程改造在</w:t>
      </w:r>
      <w:r>
        <w:rPr>
          <w:rFonts w:hint="default" w:ascii="Times New Roman" w:hAnsi="Times New Roman" w:eastAsia="方正仿宋_GBK" w:cs="Times New Roman"/>
          <w:sz w:val="32"/>
          <w:szCs w:val="32"/>
        </w:rPr>
        <w:t>厂区预留地建设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不需新增用地。</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近期规划实施的三元宫、白家湾水厂</w:t>
      </w:r>
      <w:r>
        <w:rPr>
          <w:rFonts w:hint="default" w:ascii="Times New Roman" w:hAnsi="Times New Roman" w:eastAsia="方正仿宋_GBK" w:cs="Times New Roman"/>
          <w:sz w:val="32"/>
          <w:szCs w:val="32"/>
          <w:highlight w:val="none"/>
          <w:lang w:eastAsia="zh-CN"/>
        </w:rPr>
        <w:t>泥沙</w:t>
      </w:r>
      <w:r>
        <w:rPr>
          <w:rFonts w:hint="default" w:ascii="Times New Roman" w:hAnsi="Times New Roman" w:eastAsia="方正仿宋_GBK" w:cs="Times New Roman"/>
          <w:sz w:val="32"/>
          <w:szCs w:val="32"/>
        </w:rPr>
        <w:t>处理系统建设均在厂区预留地建设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不需新增用地。</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远景规划白家湾水厂提标升级改造深度处理工艺用地可在水厂弃渣场内实施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为已征地。</w:t>
      </w:r>
    </w:p>
    <w:p>
      <w:pPr>
        <w:spacing w:line="560" w:lineRule="exact"/>
        <w:ind w:firstLine="640"/>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color w:val="auto"/>
          <w:sz w:val="32"/>
          <w:szCs w:val="32"/>
          <w:highlight w:val="none"/>
        </w:rPr>
        <w:t>舟白水厂已规划红线拟征地范围</w:t>
      </w:r>
      <w:r>
        <w:rPr>
          <w:rFonts w:hint="default" w:ascii="Times New Roman" w:hAnsi="Times New Roman" w:eastAsia="方正仿宋_GBK" w:cs="Times New Roman"/>
          <w:sz w:val="32"/>
          <w:szCs w:val="32"/>
        </w:rPr>
        <w:t>。</w:t>
      </w: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表6-2 水厂规模表</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767"/>
        <w:gridCol w:w="1300"/>
        <w:gridCol w:w="1300"/>
        <w:gridCol w:w="800"/>
        <w:gridCol w:w="1150"/>
        <w:gridCol w:w="1466"/>
        <w:gridCol w:w="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水厂名称</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现状规模</w:t>
            </w:r>
          </w:p>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（万</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r>
              <w:rPr>
                <w:rFonts w:hint="default" w:ascii="Times New Roman" w:hAnsi="Times New Roman" w:eastAsia="方正仿宋_GBK" w:cs="Times New Roman"/>
                <w:szCs w:val="28"/>
              </w:rPr>
              <w:t>/d）</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规划规模</w:t>
            </w:r>
          </w:p>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（万</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r>
              <w:rPr>
                <w:rFonts w:hint="default" w:ascii="Times New Roman" w:hAnsi="Times New Roman" w:eastAsia="方正仿宋_GBK" w:cs="Times New Roman"/>
                <w:szCs w:val="28"/>
              </w:rPr>
              <w:t>/d）</w:t>
            </w:r>
          </w:p>
        </w:tc>
        <w:tc>
          <w:tcPr>
            <w:tcW w:w="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状态</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规划用地面积（</w:t>
            </w:r>
            <w:r>
              <w:rPr>
                <w:rFonts w:hint="default" w:ascii="Times New Roman" w:hAnsi="Times New Roman" w:eastAsia="宋体" w:cs="Times New Roman"/>
                <w:b w:val="0"/>
                <w:bCs w:val="0"/>
                <w:szCs w:val="28"/>
                <w:highlight w:val="none"/>
              </w:rPr>
              <w:t>㎡</w:t>
            </w:r>
            <w:r>
              <w:rPr>
                <w:rFonts w:hint="default" w:ascii="Times New Roman" w:hAnsi="Times New Roman" w:eastAsia="方正仿宋_GBK" w:cs="Times New Roman"/>
                <w:szCs w:val="28"/>
              </w:rPr>
              <w:t>）</w:t>
            </w:r>
          </w:p>
        </w:tc>
        <w:tc>
          <w:tcPr>
            <w:tcW w:w="146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厂址地块编号、用地性质</w:t>
            </w:r>
          </w:p>
        </w:tc>
        <w:tc>
          <w:tcPr>
            <w:tcW w:w="6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正阳水厂</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18800</w:t>
            </w:r>
          </w:p>
        </w:tc>
        <w:tc>
          <w:tcPr>
            <w:tcW w:w="146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特殊用地</w:t>
            </w:r>
          </w:p>
        </w:tc>
        <w:tc>
          <w:tcPr>
            <w:tcW w:w="6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青杠水厂</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新建</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13300</w:t>
            </w:r>
          </w:p>
        </w:tc>
        <w:tc>
          <w:tcPr>
            <w:tcW w:w="146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特殊用地</w:t>
            </w:r>
          </w:p>
        </w:tc>
        <w:tc>
          <w:tcPr>
            <w:tcW w:w="6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三元宫水厂</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21000</w:t>
            </w:r>
          </w:p>
        </w:tc>
        <w:tc>
          <w:tcPr>
            <w:tcW w:w="146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特殊用地</w:t>
            </w:r>
          </w:p>
        </w:tc>
        <w:tc>
          <w:tcPr>
            <w:tcW w:w="6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4</w:t>
            </w: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白家湾水厂</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18000</w:t>
            </w:r>
          </w:p>
        </w:tc>
        <w:tc>
          <w:tcPr>
            <w:tcW w:w="146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特殊用地</w:t>
            </w:r>
          </w:p>
        </w:tc>
        <w:tc>
          <w:tcPr>
            <w:tcW w:w="6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舟白水厂</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3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21670</w:t>
            </w:r>
          </w:p>
        </w:tc>
        <w:tc>
          <w:tcPr>
            <w:tcW w:w="146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特殊用地</w:t>
            </w:r>
          </w:p>
        </w:tc>
        <w:tc>
          <w:tcPr>
            <w:tcW w:w="6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bl>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17" w:name="_Toc26765"/>
      <w:bookmarkStart w:id="218" w:name="_Toc59975801"/>
      <w:bookmarkStart w:id="219" w:name="_Toc18935"/>
      <w:r>
        <w:rPr>
          <w:rFonts w:hint="default" w:ascii="Times New Roman" w:hAnsi="Times New Roman" w:eastAsia="方正黑体_GBK" w:cs="Times New Roman"/>
          <w:b w:val="0"/>
          <w:bCs/>
          <w:kern w:val="2"/>
          <w:sz w:val="32"/>
          <w:szCs w:val="32"/>
        </w:rPr>
        <w:t>三、水厂处理工艺</w:t>
      </w:r>
      <w:bookmarkEnd w:id="217"/>
      <w:bookmarkEnd w:id="218"/>
      <w:bookmarkEnd w:id="219"/>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（一）近期水厂处理工艺</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近期新建青杠水厂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由</w:t>
      </w:r>
      <w:r>
        <w:rPr>
          <w:rFonts w:hint="default" w:ascii="Times New Roman" w:hAnsi="Times New Roman" w:eastAsia="方正仿宋_GBK" w:cs="Times New Roman"/>
          <w:sz w:val="32"/>
          <w:szCs w:val="32"/>
          <w:highlight w:val="none"/>
        </w:rPr>
        <w:t>于新建青杠水厂</w:t>
      </w:r>
      <w:r>
        <w:rPr>
          <w:rFonts w:hint="default" w:ascii="Times New Roman" w:hAnsi="Times New Roman" w:eastAsia="方正仿宋_GBK" w:cs="Times New Roman"/>
          <w:sz w:val="32"/>
          <w:szCs w:val="32"/>
        </w:rPr>
        <w:t>采用太极水库作为取水水源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泥沙含量少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水质较好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因此青杠水厂拟采用常规净水工艺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但是需要考虑到水库水藻类滋生对工艺的影响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所以需要增加前加氯措施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即：</w:t>
      </w:r>
    </w:p>
    <w:p>
      <w:pPr>
        <w:spacing w:line="560" w:lineRule="exact"/>
        <w:ind w:firstLine="640"/>
        <w:rPr>
          <w:rFonts w:hint="default" w:ascii="Times New Roman" w:hAnsi="Times New Roman" w:eastAsia="方正仿宋_GBK" w:cs="Times New Roman"/>
          <w:sz w:val="32"/>
          <w:szCs w:val="32"/>
        </w:rPr>
      </w:pPr>
      <w:bookmarkStart w:id="220" w:name="_Toc15888459"/>
      <w:r>
        <w:rPr>
          <w:rFonts w:hint="default" w:ascii="Times New Roman" w:hAnsi="Times New Roman" w:eastAsia="方正仿宋_GBK" w:cs="Times New Roman"/>
          <w:sz w:val="32"/>
          <w:szCs w:val="32"/>
        </w:rPr>
        <w:drawing>
          <wp:anchor distT="0" distB="0" distL="0" distR="0" simplePos="0" relativeHeight="251667456" behindDoc="0" locked="0" layoutInCell="1" allowOverlap="1">
            <wp:simplePos x="0" y="0"/>
            <wp:positionH relativeFrom="column">
              <wp:posOffset>320040</wp:posOffset>
            </wp:positionH>
            <wp:positionV relativeFrom="paragraph">
              <wp:posOffset>54610</wp:posOffset>
            </wp:positionV>
            <wp:extent cx="5094605" cy="783590"/>
            <wp:effectExtent l="0" t="0" r="10795" b="16510"/>
            <wp:wrapNone/>
            <wp:docPr id="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8"/>
                    <pic:cNvPicPr>
                      <a:picLocks noChangeAspect="1" noChangeArrowheads="1"/>
                    </pic:cNvPicPr>
                  </pic:nvPicPr>
                  <pic:blipFill>
                    <a:blip r:embed="rId13" cstate="print"/>
                    <a:srcRect/>
                    <a:stretch>
                      <a:fillRect/>
                    </a:stretch>
                  </pic:blipFill>
                  <pic:spPr>
                    <a:xfrm>
                      <a:off x="0" y="0"/>
                      <a:ext cx="5094605" cy="783590"/>
                    </a:xfrm>
                    <a:prstGeom prst="rect">
                      <a:avLst/>
                    </a:prstGeom>
                    <a:noFill/>
                    <a:ln w="9525">
                      <a:noFill/>
                      <a:miter lim="800000"/>
                      <a:headEnd/>
                      <a:tailEnd/>
                    </a:ln>
                  </pic:spPr>
                </pic:pic>
              </a:graphicData>
            </a:graphic>
          </wp:anchor>
        </w:drawing>
      </w:r>
      <w:bookmarkEnd w:id="220"/>
    </w:p>
    <w:p>
      <w:pPr>
        <w:spacing w:line="560" w:lineRule="exact"/>
        <w:ind w:firstLine="640"/>
        <w:rPr>
          <w:rFonts w:hint="default" w:ascii="Times New Roman" w:hAnsi="Times New Roman" w:eastAsia="方正仿宋_GBK" w:cs="Times New Roman"/>
          <w:sz w:val="32"/>
          <w:szCs w:val="32"/>
        </w:rPr>
      </w:pPr>
    </w:p>
    <w:p>
      <w:pPr>
        <w:spacing w:line="560" w:lineRule="exact"/>
        <w:ind w:firstLine="640"/>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（二）远期展望水厂处理工艺</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远期扩建正阳水厂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由于正阳水厂采用小南海水库作为水源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水质较好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拟采用常规净水工艺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但是需要考虑到水库水藻类滋生对工艺的影响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所以需要增加前加氯措施。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远期三元宫水厂闲置一流程改造与正阳水厂一样是小南海水库作为水源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水质较好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拟采用常规净水工艺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但是需要考虑到水库水藻类滋生对工艺的影响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所以需要增加前加氯措施。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远期白家湾水厂技术改造</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color w:val="auto"/>
          <w:sz w:val="32"/>
          <w:szCs w:val="32"/>
          <w:highlight w:val="none"/>
          <w:lang w:eastAsia="zh-CN"/>
        </w:rPr>
        <w:t>拟</w:t>
      </w:r>
      <w:r>
        <w:rPr>
          <w:rFonts w:hint="default" w:ascii="Times New Roman" w:hAnsi="Times New Roman" w:eastAsia="方正仿宋_GBK" w:cs="Times New Roman"/>
          <w:color w:val="auto"/>
          <w:sz w:val="32"/>
          <w:szCs w:val="32"/>
          <w:highlight w:val="none"/>
        </w:rPr>
        <w:t>建</w:t>
      </w:r>
      <w:r>
        <w:rPr>
          <w:rFonts w:hint="default" w:ascii="Times New Roman" w:hAnsi="Times New Roman" w:eastAsia="方正仿宋_GBK" w:cs="Times New Roman"/>
          <w:sz w:val="32"/>
          <w:szCs w:val="32"/>
          <w:highlight w:val="none"/>
        </w:rPr>
        <w:t>工</w:t>
      </w:r>
      <w:r>
        <w:rPr>
          <w:rFonts w:hint="default" w:ascii="Times New Roman" w:hAnsi="Times New Roman" w:eastAsia="方正仿宋_GBK" w:cs="Times New Roman"/>
          <w:sz w:val="32"/>
          <w:szCs w:val="32"/>
        </w:rPr>
        <w:t>艺为重力无阀滤池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制水工艺原水→混凝→沉淀→过滤→消毒→清水池→输配水</w:t>
      </w:r>
      <w:r>
        <w:rPr>
          <w:rFonts w:hint="default" w:ascii="Times New Roman" w:hAnsi="Times New Roman" w:eastAsia="方正仿宋_GBK" w:cs="Times New Roman"/>
          <w:sz w:val="32"/>
          <w:szCs w:val="32"/>
          <w:highlight w:val="none"/>
        </w:rPr>
        <w:t>管网。即</w:t>
      </w:r>
      <w:r>
        <w:rPr>
          <w:rFonts w:hint="default" w:ascii="Times New Roman" w:hAnsi="Times New Roman" w:eastAsia="方正仿宋_GBK" w:cs="Times New Roman"/>
          <w:sz w:val="32"/>
          <w:szCs w:val="32"/>
        </w:rPr>
        <w:t>原水-投加净水剂-网格池反应-条形池、斜管池繁花沉降-表层水滤池过滤-投加消毒剂-清水池-向城区供水。水厂消毒方式：采用液氯消毒</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后加氯方式。</w:t>
      </w:r>
    </w:p>
    <w:p>
      <w:pPr>
        <w:spacing w:line="560" w:lineRule="exact"/>
        <w:ind w:firstLine="640"/>
        <w:rPr>
          <w:rFonts w:hint="default" w:ascii="Times New Roman" w:hAnsi="Times New Roman" w:eastAsia="方正仿宋_GBK" w:cs="Times New Roman"/>
          <w:sz w:val="32"/>
          <w:szCs w:val="32"/>
        </w:rPr>
      </w:pPr>
      <w:bookmarkStart w:id="221" w:name="_Toc15888460"/>
      <w:r>
        <w:rPr>
          <w:rFonts w:hint="default" w:ascii="Times New Roman" w:hAnsi="Times New Roman" w:eastAsia="方正仿宋_GBK" w:cs="Times New Roman"/>
          <w:sz w:val="32"/>
          <w:szCs w:val="32"/>
        </w:rPr>
        <w:t>由于洞塘水库源水易发生季节性水质变化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水厂常规工艺难以满足</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并且需要考虑到洞塘水库受到轻微污染和藻类生长的影响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故需要增加深度处理工艺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即：</w:t>
      </w:r>
      <w:bookmarkEnd w:id="221"/>
    </w:p>
    <w:p>
      <w:pPr>
        <w:spacing w:line="560" w:lineRule="exact"/>
        <w:ind w:firstLine="640"/>
        <w:rPr>
          <w:rFonts w:hint="default" w:ascii="Times New Roman" w:hAnsi="Times New Roman" w:eastAsia="方正仿宋_GBK" w:cs="Times New Roman"/>
          <w:sz w:val="32"/>
          <w:szCs w:val="32"/>
        </w:rPr>
      </w:pPr>
      <w:bookmarkStart w:id="222" w:name="_Toc15888461"/>
      <w:bookmarkStart w:id="223" w:name="_Toc10125"/>
      <w:r>
        <w:rPr>
          <w:rFonts w:hint="default" w:ascii="Times New Roman" w:hAnsi="Times New Roman" w:eastAsia="方正仿宋_GBK" w:cs="Times New Roman"/>
          <w:sz w:val="32"/>
          <w:szCs w:val="32"/>
        </w:rPr>
        <w:drawing>
          <wp:anchor distT="0" distB="0" distL="0" distR="0" simplePos="0" relativeHeight="251668480" behindDoc="0" locked="0" layoutInCell="1" allowOverlap="1">
            <wp:simplePos x="0" y="0"/>
            <wp:positionH relativeFrom="column">
              <wp:posOffset>-66675</wp:posOffset>
            </wp:positionH>
            <wp:positionV relativeFrom="paragraph">
              <wp:posOffset>54610</wp:posOffset>
            </wp:positionV>
            <wp:extent cx="6189345" cy="974090"/>
            <wp:effectExtent l="0" t="0" r="1905" b="16510"/>
            <wp:wrapNone/>
            <wp:docPr id="1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9"/>
                    <pic:cNvPicPr>
                      <a:picLocks noChangeAspect="1" noChangeArrowheads="1"/>
                    </pic:cNvPicPr>
                  </pic:nvPicPr>
                  <pic:blipFill>
                    <a:blip r:embed="rId14" cstate="print"/>
                    <a:srcRect/>
                    <a:stretch>
                      <a:fillRect/>
                    </a:stretch>
                  </pic:blipFill>
                  <pic:spPr>
                    <a:xfrm>
                      <a:off x="0" y="0"/>
                      <a:ext cx="6189345" cy="974090"/>
                    </a:xfrm>
                    <a:prstGeom prst="rect">
                      <a:avLst/>
                    </a:prstGeom>
                    <a:noFill/>
                    <a:ln w="9525">
                      <a:noFill/>
                      <a:miter lim="800000"/>
                      <a:headEnd/>
                      <a:tailEnd/>
                    </a:ln>
                  </pic:spPr>
                </pic:pic>
              </a:graphicData>
            </a:graphic>
          </wp:anchor>
        </w:drawing>
      </w:r>
      <w:bookmarkEnd w:id="222"/>
      <w:bookmarkEnd w:id="223"/>
    </w:p>
    <w:p>
      <w:pPr>
        <w:spacing w:line="560" w:lineRule="exact"/>
        <w:ind w:firstLine="640"/>
        <w:rPr>
          <w:rFonts w:hint="default" w:ascii="Times New Roman" w:hAnsi="Times New Roman" w:eastAsia="方正仿宋_GBK" w:cs="Times New Roman"/>
          <w:sz w:val="32"/>
          <w:szCs w:val="32"/>
        </w:rPr>
      </w:pPr>
      <w:bookmarkStart w:id="224" w:name="_Toc59975802"/>
      <w:bookmarkStart w:id="225" w:name="_Toc14472"/>
    </w:p>
    <w:p>
      <w:pPr>
        <w:spacing w:line="560" w:lineRule="exact"/>
        <w:ind w:firstLine="640"/>
        <w:rPr>
          <w:rFonts w:hint="default" w:ascii="Times New Roman" w:hAnsi="Times New Roman" w:eastAsia="方正仿宋_GBK" w:cs="Times New Roman"/>
          <w:sz w:val="32"/>
          <w:szCs w:val="32"/>
        </w:rPr>
      </w:pP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26" w:name="_Toc29634"/>
      <w:r>
        <w:rPr>
          <w:rFonts w:hint="default" w:ascii="Times New Roman" w:hAnsi="Times New Roman" w:eastAsia="方正黑体_GBK" w:cs="Times New Roman"/>
          <w:b w:val="0"/>
          <w:bCs/>
          <w:kern w:val="2"/>
          <w:sz w:val="32"/>
          <w:szCs w:val="32"/>
        </w:rPr>
        <w:t>四、水厂尾泥处置规划</w:t>
      </w:r>
      <w:bookmarkEnd w:id="224"/>
      <w:bookmarkEnd w:id="225"/>
      <w:bookmarkEnd w:id="226"/>
    </w:p>
    <w:p>
      <w:pPr>
        <w:spacing w:line="560" w:lineRule="exact"/>
        <w:ind w:firstLine="640"/>
        <w:rPr>
          <w:rFonts w:hint="default" w:ascii="Times New Roman" w:hAnsi="Times New Roman" w:eastAsia="方正仿宋_GBK" w:cs="Times New Roman"/>
          <w:b/>
          <w:spacing w:val="-6"/>
          <w:sz w:val="32"/>
          <w:szCs w:val="32"/>
        </w:rPr>
      </w:pPr>
      <w:bookmarkStart w:id="227" w:name="_Toc60430054"/>
      <w:bookmarkStart w:id="228" w:name="_Toc59975803"/>
      <w:bookmarkStart w:id="229" w:name="_Toc28818"/>
      <w:r>
        <w:rPr>
          <w:rFonts w:hint="default" w:ascii="Times New Roman" w:hAnsi="Times New Roman" w:eastAsia="方正仿宋_GBK" w:cs="Times New Roman"/>
          <w:sz w:val="32"/>
          <w:szCs w:val="32"/>
        </w:rPr>
        <w:t>水厂污泥主要</w:t>
      </w:r>
      <w:r>
        <w:rPr>
          <w:rFonts w:hint="default" w:ascii="Times New Roman" w:hAnsi="Times New Roman" w:eastAsia="方正仿宋_GBK" w:cs="Times New Roman"/>
          <w:sz w:val="32"/>
          <w:szCs w:val="32"/>
          <w:highlight w:val="none"/>
        </w:rPr>
        <w:t>来自</w:t>
      </w:r>
      <w:r>
        <w:rPr>
          <w:rFonts w:hint="default" w:ascii="Times New Roman" w:hAnsi="Times New Roman" w:eastAsia="方正仿宋_GBK" w:cs="Times New Roman"/>
          <w:sz w:val="32"/>
          <w:szCs w:val="32"/>
        </w:rPr>
        <w:t>沉淀池排泥水和滤池的反冲洗水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排泥水处理和污泥处置日益引起关注。由于黔江原水水质较好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现状和规划的水厂污泥处理采用絮凝沉淀池排泥水和滤池反冲洗废水分别处理的工艺。滤池反冲洗废水经回收水池调节后用潜水泵输往配水井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进行回收利用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絮凝沉淀池经排泥池调节后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采用潜水泵输送至浓缩池处理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浓缩池上清液排放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浓缩污泥进入脱水车间处理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脱水滤液进入排泥池进行再处理。</w:t>
      </w:r>
      <w:bookmarkEnd w:id="227"/>
      <w:bookmarkEnd w:id="228"/>
      <w:bookmarkEnd w:id="229"/>
      <w:bookmarkStart w:id="230" w:name="_Toc3826"/>
      <w:bookmarkStart w:id="231" w:name="_Toc59975804"/>
      <w:bookmarkStart w:id="232" w:name="_Toc60430055"/>
      <w:r>
        <w:rPr>
          <w:rFonts w:hint="default" w:ascii="Times New Roman" w:hAnsi="Times New Roman" w:eastAsia="方正仿宋_GBK" w:cs="Times New Roman"/>
          <w:sz w:val="32"/>
          <w:szCs w:val="32"/>
        </w:rPr>
        <w:t>目前国内外水厂一般采用送往指定地点进行填埋的方法。</w:t>
      </w:r>
      <w:bookmarkEnd w:id="230"/>
      <w:bookmarkEnd w:id="231"/>
      <w:bookmarkEnd w:id="232"/>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表6-3  规划水厂污泥处置一览表</w:t>
      </w:r>
    </w:p>
    <w:tbl>
      <w:tblPr>
        <w:tblStyle w:val="12"/>
        <w:tblpPr w:leftFromText="180" w:rightFromText="180" w:vertAnchor="text" w:horzAnchor="margin" w:tblpY="144"/>
        <w:tblOverlap w:val="never"/>
        <w:tblW w:w="9060" w:type="dxa"/>
        <w:tblInd w:w="0" w:type="dxa"/>
        <w:tblLayout w:type="fixed"/>
        <w:tblCellMar>
          <w:top w:w="0" w:type="dxa"/>
          <w:left w:w="108" w:type="dxa"/>
          <w:bottom w:w="0" w:type="dxa"/>
          <w:right w:w="108" w:type="dxa"/>
        </w:tblCellMar>
      </w:tblPr>
      <w:tblGrid>
        <w:gridCol w:w="352"/>
        <w:gridCol w:w="978"/>
        <w:gridCol w:w="1325"/>
        <w:gridCol w:w="969"/>
        <w:gridCol w:w="1732"/>
        <w:gridCol w:w="817"/>
        <w:gridCol w:w="2235"/>
        <w:gridCol w:w="652"/>
      </w:tblGrid>
      <w:tr>
        <w:tblPrEx>
          <w:tblCellMar>
            <w:top w:w="0" w:type="dxa"/>
            <w:left w:w="108" w:type="dxa"/>
            <w:bottom w:w="0" w:type="dxa"/>
            <w:right w:w="108" w:type="dxa"/>
          </w:tblCellMar>
        </w:tblPrEx>
        <w:trPr>
          <w:trHeight w:val="1035" w:hRule="atLeast"/>
          <w:tblHeader/>
        </w:trPr>
        <w:tc>
          <w:tcPr>
            <w:tcW w:w="3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97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水厂</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名称</w:t>
            </w:r>
          </w:p>
        </w:tc>
        <w:tc>
          <w:tcPr>
            <w:tcW w:w="132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干污泥处理量（tds/天）</w:t>
            </w:r>
          </w:p>
        </w:tc>
        <w:tc>
          <w:tcPr>
            <w:tcW w:w="9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近期去向</w:t>
            </w:r>
          </w:p>
        </w:tc>
        <w:tc>
          <w:tcPr>
            <w:tcW w:w="173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近期处理工艺</w:t>
            </w:r>
          </w:p>
        </w:tc>
        <w:tc>
          <w:tcPr>
            <w:tcW w:w="81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远期去向</w:t>
            </w:r>
          </w:p>
        </w:tc>
        <w:tc>
          <w:tcPr>
            <w:tcW w:w="223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近期处理工艺</w:t>
            </w:r>
          </w:p>
        </w:tc>
        <w:tc>
          <w:tcPr>
            <w:tcW w:w="65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CellMar>
            <w:top w:w="0" w:type="dxa"/>
            <w:left w:w="108" w:type="dxa"/>
            <w:bottom w:w="0" w:type="dxa"/>
            <w:right w:w="108" w:type="dxa"/>
          </w:tblCellMar>
        </w:tblPrEx>
        <w:trPr>
          <w:trHeight w:val="270" w:hRule="atLeast"/>
        </w:trPr>
        <w:tc>
          <w:tcPr>
            <w:tcW w:w="3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97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三元宫水厂</w:t>
            </w:r>
          </w:p>
        </w:tc>
        <w:tc>
          <w:tcPr>
            <w:tcW w:w="132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9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建材利用</w:t>
            </w:r>
          </w:p>
        </w:tc>
        <w:tc>
          <w:tcPr>
            <w:tcW w:w="173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脱水污泥——干化———建材利用</w:t>
            </w:r>
          </w:p>
        </w:tc>
        <w:tc>
          <w:tcPr>
            <w:tcW w:w="81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建材利用</w:t>
            </w:r>
          </w:p>
        </w:tc>
        <w:tc>
          <w:tcPr>
            <w:tcW w:w="223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脱水污泥——干化———建材利用</w:t>
            </w:r>
          </w:p>
        </w:tc>
        <w:tc>
          <w:tcPr>
            <w:tcW w:w="65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CellMar>
            <w:top w:w="0" w:type="dxa"/>
            <w:left w:w="108" w:type="dxa"/>
            <w:bottom w:w="0" w:type="dxa"/>
            <w:right w:w="108" w:type="dxa"/>
          </w:tblCellMar>
        </w:tblPrEx>
        <w:trPr>
          <w:trHeight w:val="270" w:hRule="atLeast"/>
        </w:trPr>
        <w:tc>
          <w:tcPr>
            <w:tcW w:w="3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97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白家湾水厂</w:t>
            </w:r>
          </w:p>
        </w:tc>
        <w:tc>
          <w:tcPr>
            <w:tcW w:w="132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9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建材利用</w:t>
            </w:r>
          </w:p>
        </w:tc>
        <w:tc>
          <w:tcPr>
            <w:tcW w:w="173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脱水污泥——干化———建材利用</w:t>
            </w:r>
          </w:p>
        </w:tc>
        <w:tc>
          <w:tcPr>
            <w:tcW w:w="81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建材利用</w:t>
            </w:r>
          </w:p>
        </w:tc>
        <w:tc>
          <w:tcPr>
            <w:tcW w:w="223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脱水污泥——干化———建材利用</w:t>
            </w:r>
          </w:p>
        </w:tc>
        <w:tc>
          <w:tcPr>
            <w:tcW w:w="65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bl>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本次规划在三元宫、白家湾水厂新建废水脱泥处理系统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提高水厂尾泥处置能力。</w:t>
      </w:r>
      <w:bookmarkEnd w:id="130"/>
    </w:p>
    <w:p>
      <w:pPr>
        <w:pStyle w:val="4"/>
        <w:spacing w:before="0" w:after="0" w:line="560" w:lineRule="exact"/>
        <w:ind w:left="0" w:leftChars="0" w:firstLine="0" w:firstLineChars="0"/>
        <w:jc w:val="center"/>
        <w:rPr>
          <w:rFonts w:hint="default" w:ascii="Times New Roman" w:hAnsi="Times New Roman" w:eastAsia="方正小标宋_GBK" w:cs="Times New Roman"/>
          <w:b w:val="0"/>
          <w:bCs w:val="0"/>
          <w:sz w:val="44"/>
          <w:szCs w:val="44"/>
        </w:rPr>
      </w:pPr>
      <w:bookmarkStart w:id="233" w:name="_Toc19992"/>
      <w:r>
        <w:rPr>
          <w:rFonts w:hint="default" w:ascii="Times New Roman" w:hAnsi="Times New Roman" w:eastAsia="方正小标宋_GBK" w:cs="Times New Roman"/>
          <w:b w:val="0"/>
          <w:bCs w:val="0"/>
          <w:sz w:val="44"/>
          <w:szCs w:val="44"/>
        </w:rPr>
        <w:t>第七章 输配水系统规划</w:t>
      </w:r>
      <w:bookmarkEnd w:id="233"/>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34" w:name="_Toc11041"/>
      <w:bookmarkStart w:id="235" w:name="_Toc74734961"/>
      <w:r>
        <w:rPr>
          <w:rFonts w:hint="default" w:ascii="Times New Roman" w:hAnsi="Times New Roman" w:eastAsia="方正黑体_GBK" w:cs="Times New Roman"/>
          <w:b w:val="0"/>
          <w:bCs/>
          <w:kern w:val="2"/>
          <w:sz w:val="32"/>
          <w:szCs w:val="32"/>
        </w:rPr>
        <w:t>一、压泵站规划</w:t>
      </w:r>
      <w:bookmarkEnd w:id="234"/>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（一）</w:t>
      </w:r>
      <w:r>
        <w:rPr>
          <w:rFonts w:hint="default" w:ascii="Times New Roman" w:hAnsi="Times New Roman" w:eastAsia="方正楷体_GBK" w:cs="Times New Roman"/>
          <w:sz w:val="32"/>
          <w:szCs w:val="32"/>
        </w:rPr>
        <w:t>姚家堡片区加压供水工程（2021</w:t>
      </w:r>
      <w:r>
        <w:rPr>
          <w:rFonts w:hint="default" w:ascii="Times New Roman" w:hAnsi="Times New Roman" w:eastAsia="方正楷体_GBK" w:cs="Times New Roman"/>
          <w:sz w:val="32"/>
          <w:szCs w:val="32"/>
          <w:highlight w:val="none"/>
          <w:lang w:eastAsia="zh-CN"/>
        </w:rPr>
        <w:t>—2022年</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2030-2031）</w:t>
      </w:r>
      <w:bookmarkEnd w:id="235"/>
    </w:p>
    <w:p>
      <w:pPr>
        <w:spacing w:line="560" w:lineRule="exact"/>
        <w:ind w:firstLine="640"/>
        <w:rPr>
          <w:rFonts w:hint="default" w:ascii="Times New Roman" w:hAnsi="Times New Roman" w:eastAsia="方正仿宋_GBK" w:cs="Times New Roman"/>
          <w:sz w:val="32"/>
          <w:szCs w:val="32"/>
        </w:rPr>
      </w:pPr>
      <w:bookmarkStart w:id="236" w:name="_Toc74734963"/>
      <w:r>
        <w:rPr>
          <w:rFonts w:hint="default" w:ascii="Times New Roman" w:hAnsi="Times New Roman" w:eastAsia="方正仿宋_GBK" w:cs="Times New Roman"/>
          <w:sz w:val="32"/>
          <w:szCs w:val="32"/>
        </w:rPr>
        <w:t>新建供水加压站一座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近期规模5000吨/天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主要新建构建筑物包括加压泵房、综合楼管理楼、机修车间等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总建筑面积2579.8m</w:t>
      </w:r>
      <w:r>
        <w:rPr>
          <w:rFonts w:hint="default" w:ascii="Times New Roman" w:hAnsi="Times New Roman" w:eastAsia="方正仿宋_GBK" w:cs="Times New Roman"/>
          <w:sz w:val="32"/>
          <w:szCs w:val="32"/>
          <w:vertAlign w:val="superscript"/>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近期新建配套供水管网约6.2km；远期扩建规模5000吨/天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达到10000吨/天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远期新建配套供水管网约2.5km。</w:t>
      </w:r>
      <w:bookmarkEnd w:id="236"/>
    </w:p>
    <w:p>
      <w:pPr>
        <w:spacing w:line="560" w:lineRule="exact"/>
        <w:ind w:firstLine="640"/>
        <w:rPr>
          <w:rFonts w:hint="default" w:ascii="Times New Roman" w:hAnsi="Times New Roman" w:eastAsia="方正楷体_GBK" w:cs="Times New Roman"/>
          <w:sz w:val="32"/>
          <w:szCs w:val="32"/>
        </w:rPr>
      </w:pPr>
      <w:bookmarkStart w:id="237" w:name="_Toc74734967"/>
      <w:r>
        <w:rPr>
          <w:rFonts w:hint="default" w:ascii="Times New Roman" w:hAnsi="Times New Roman" w:eastAsia="方正楷体_GBK" w:cs="Times New Roman"/>
          <w:sz w:val="32"/>
          <w:szCs w:val="32"/>
          <w:lang w:eastAsia="zh-CN"/>
        </w:rPr>
        <w:t>（二）</w:t>
      </w:r>
      <w:r>
        <w:rPr>
          <w:rFonts w:hint="default" w:ascii="Times New Roman" w:hAnsi="Times New Roman" w:eastAsia="方正楷体_GBK" w:cs="Times New Roman"/>
          <w:sz w:val="32"/>
          <w:szCs w:val="32"/>
        </w:rPr>
        <w:t>南青路二次加压供水工程（2022-2023年）</w:t>
      </w:r>
      <w:bookmarkEnd w:id="237"/>
    </w:p>
    <w:p>
      <w:pPr>
        <w:spacing w:line="560" w:lineRule="exact"/>
        <w:ind w:firstLine="640"/>
        <w:rPr>
          <w:rFonts w:hint="default" w:ascii="Times New Roman" w:hAnsi="Times New Roman" w:eastAsia="方正仿宋_GBK" w:cs="Times New Roman"/>
          <w:sz w:val="32"/>
          <w:szCs w:val="32"/>
        </w:rPr>
      </w:pPr>
      <w:bookmarkStart w:id="238" w:name="_Toc74734969"/>
      <w:r>
        <w:rPr>
          <w:rFonts w:hint="default" w:ascii="Times New Roman" w:hAnsi="Times New Roman" w:eastAsia="方正仿宋_GBK" w:cs="Times New Roman"/>
          <w:sz w:val="32"/>
          <w:szCs w:val="32"/>
        </w:rPr>
        <w:t>在老城片区南沟新建加压泵房一座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近期规模0.5万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预留远期规模1.0万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/d。新建1000m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调节水池两座；新建综合管理房一座；新建输配水管网约6km。</w:t>
      </w:r>
      <w:bookmarkEnd w:id="238"/>
    </w:p>
    <w:p>
      <w:pPr>
        <w:spacing w:line="560" w:lineRule="exact"/>
        <w:ind w:firstLine="640"/>
        <w:rPr>
          <w:rFonts w:hint="default" w:ascii="Times New Roman" w:hAnsi="Times New Roman" w:eastAsia="方正楷体_GBK" w:cs="Times New Roman"/>
          <w:sz w:val="32"/>
          <w:szCs w:val="32"/>
        </w:rPr>
      </w:pPr>
      <w:bookmarkStart w:id="239" w:name="_Toc74734973"/>
      <w:r>
        <w:rPr>
          <w:rFonts w:hint="default" w:ascii="Times New Roman" w:hAnsi="Times New Roman" w:eastAsia="方正楷体_GBK" w:cs="Times New Roman"/>
          <w:sz w:val="32"/>
          <w:szCs w:val="32"/>
          <w:lang w:eastAsia="zh-CN"/>
        </w:rPr>
        <w:t>（三）</w:t>
      </w:r>
      <w:r>
        <w:rPr>
          <w:rFonts w:hint="default" w:ascii="Times New Roman" w:hAnsi="Times New Roman" w:eastAsia="方正楷体_GBK" w:cs="Times New Roman"/>
          <w:sz w:val="32"/>
          <w:szCs w:val="32"/>
        </w:rPr>
        <w:t>南青路</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rPr>
        <w:t>青杠</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rPr>
        <w:t>加压泵站（2022-2023年）</w:t>
      </w:r>
      <w:bookmarkEnd w:id="239"/>
    </w:p>
    <w:p>
      <w:pPr>
        <w:spacing w:line="560" w:lineRule="exact"/>
        <w:ind w:firstLine="640"/>
        <w:rPr>
          <w:rFonts w:hint="default" w:ascii="Times New Roman" w:hAnsi="Times New Roman" w:eastAsia="方正仿宋_GBK" w:cs="Times New Roman"/>
          <w:sz w:val="32"/>
          <w:szCs w:val="32"/>
        </w:rPr>
      </w:pPr>
      <w:bookmarkStart w:id="240" w:name="_Toc74734975"/>
      <w:r>
        <w:rPr>
          <w:rFonts w:hint="default" w:ascii="Times New Roman" w:hAnsi="Times New Roman" w:eastAsia="方正仿宋_GBK" w:cs="Times New Roman"/>
          <w:sz w:val="32"/>
          <w:szCs w:val="32"/>
        </w:rPr>
        <w:t>在青杠片区南沟新建加压泵房一座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规划规模1.0万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/d。新建1000m</w:t>
      </w:r>
      <w:r>
        <w:rPr>
          <w:rFonts w:hint="default" w:ascii="Times New Roman" w:hAnsi="Times New Roman" w:eastAsia="方正仿宋_GBK" w:cs="Times New Roman"/>
          <w:sz w:val="32"/>
          <w:szCs w:val="32"/>
          <w:vertAlign w:val="superscript"/>
        </w:rPr>
        <w:t>3</w:t>
      </w:r>
      <w:r>
        <w:rPr>
          <w:rFonts w:hint="default" w:ascii="Times New Roman" w:hAnsi="Times New Roman" w:eastAsia="方正仿宋_GBK" w:cs="Times New Roman"/>
          <w:sz w:val="32"/>
          <w:szCs w:val="32"/>
        </w:rPr>
        <w:t>调节水池一座；新建综合管理房一座。</w:t>
      </w:r>
      <w:bookmarkEnd w:id="240"/>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表7-2 规划年加压泵站用地一览表</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880"/>
        <w:gridCol w:w="1801"/>
        <w:gridCol w:w="990"/>
        <w:gridCol w:w="1229"/>
        <w:gridCol w:w="1440"/>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188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泵站名称</w:t>
            </w:r>
          </w:p>
        </w:tc>
        <w:tc>
          <w:tcPr>
            <w:tcW w:w="1801"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规划规模</w:t>
            </w:r>
          </w:p>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3</w:t>
            </w:r>
            <w:r>
              <w:rPr>
                <w:rFonts w:hint="default" w:ascii="Times New Roman" w:hAnsi="Times New Roman" w:eastAsia="方正仿宋_GBK" w:cs="Times New Roman"/>
                <w:szCs w:val="28"/>
              </w:rPr>
              <w:t>/d）</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状态</w:t>
            </w:r>
          </w:p>
        </w:tc>
        <w:tc>
          <w:tcPr>
            <w:tcW w:w="12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占地面积（</w:t>
            </w:r>
            <w:r>
              <w:rPr>
                <w:rFonts w:hint="default" w:ascii="Times New Roman" w:hAnsi="Times New Roman" w:eastAsia="方正仿宋_GBK" w:cs="Times New Roman"/>
                <w:szCs w:val="28"/>
                <w:highlight w:val="none"/>
              </w:rPr>
              <w:t>m</w:t>
            </w:r>
            <w:r>
              <w:rPr>
                <w:rFonts w:hint="default" w:ascii="Times New Roman" w:hAnsi="Times New Roman" w:eastAsia="方正仿宋_GBK" w:cs="Times New Roman"/>
                <w:szCs w:val="28"/>
                <w:highlight w:val="none"/>
                <w:vertAlign w:val="superscript"/>
              </w:rPr>
              <w:t>2</w:t>
            </w:r>
            <w:r>
              <w:rPr>
                <w:rFonts w:hint="default" w:ascii="Times New Roman" w:hAnsi="Times New Roman" w:eastAsia="方正仿宋_GBK" w:cs="Times New Roman"/>
                <w:szCs w:val="28"/>
              </w:rPr>
              <w:t>）</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lang w:eastAsia="zh-CN"/>
              </w:rPr>
            </w:pPr>
            <w:r>
              <w:rPr>
                <w:rFonts w:hint="default" w:ascii="Times New Roman" w:hAnsi="Times New Roman" w:cs="Times New Roman"/>
              </w:rPr>
              <w:t>建设时序</w:t>
            </w:r>
            <w:r>
              <w:rPr>
                <w:rFonts w:hint="default" w:ascii="Times New Roman" w:hAnsi="Times New Roman" w:eastAsia="方正仿宋_GBK" w:cs="Times New Roman"/>
                <w:szCs w:val="28"/>
                <w:lang w:eastAsia="zh-CN"/>
              </w:rPr>
              <w:t>（年）</w:t>
            </w:r>
          </w:p>
        </w:tc>
        <w:tc>
          <w:tcPr>
            <w:tcW w:w="85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188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姚家堡片区加压供水工程</w:t>
            </w:r>
          </w:p>
        </w:tc>
        <w:tc>
          <w:tcPr>
            <w:tcW w:w="1801"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0.5-1.0</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新建</w:t>
            </w:r>
          </w:p>
        </w:tc>
        <w:tc>
          <w:tcPr>
            <w:tcW w:w="12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4.5亩</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2021-2022</w:t>
            </w:r>
          </w:p>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2030-2031</w:t>
            </w:r>
          </w:p>
        </w:tc>
        <w:tc>
          <w:tcPr>
            <w:tcW w:w="85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188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南青路二次加压泵站</w:t>
            </w:r>
          </w:p>
        </w:tc>
        <w:tc>
          <w:tcPr>
            <w:tcW w:w="1801"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0.5-1.0</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新建</w:t>
            </w:r>
          </w:p>
        </w:tc>
        <w:tc>
          <w:tcPr>
            <w:tcW w:w="12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7.3亩</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2022-2023</w:t>
            </w:r>
          </w:p>
        </w:tc>
        <w:tc>
          <w:tcPr>
            <w:tcW w:w="85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188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南青路</w:t>
            </w:r>
            <w:r>
              <w:rPr>
                <w:rFonts w:hint="default" w:ascii="Times New Roman" w:hAnsi="Times New Roman" w:eastAsia="方正仿宋_GBK" w:cs="Times New Roman"/>
                <w:szCs w:val="28"/>
                <w:highlight w:val="none"/>
                <w:lang w:eastAsia="zh-CN"/>
              </w:rPr>
              <w:t>（</w:t>
            </w:r>
            <w:r>
              <w:rPr>
                <w:rFonts w:hint="default" w:ascii="Times New Roman" w:hAnsi="Times New Roman" w:eastAsia="方正仿宋_GBK" w:cs="Times New Roman"/>
                <w:szCs w:val="28"/>
              </w:rPr>
              <w:t>青杠</w:t>
            </w:r>
            <w:r>
              <w:rPr>
                <w:rFonts w:hint="default" w:ascii="Times New Roman" w:hAnsi="Times New Roman" w:eastAsia="方正仿宋_GBK" w:cs="Times New Roman"/>
                <w:szCs w:val="28"/>
                <w:highlight w:val="none"/>
                <w:lang w:eastAsia="zh-CN"/>
              </w:rPr>
              <w:t>）</w:t>
            </w:r>
            <w:r>
              <w:rPr>
                <w:rFonts w:hint="default" w:ascii="Times New Roman" w:hAnsi="Times New Roman" w:eastAsia="方正仿宋_GBK" w:cs="Times New Roman"/>
                <w:szCs w:val="28"/>
              </w:rPr>
              <w:t>加压泵站</w:t>
            </w:r>
          </w:p>
        </w:tc>
        <w:tc>
          <w:tcPr>
            <w:tcW w:w="1801"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1.0</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新建</w:t>
            </w:r>
          </w:p>
        </w:tc>
        <w:tc>
          <w:tcPr>
            <w:tcW w:w="12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5亩</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2022-2023</w:t>
            </w:r>
          </w:p>
        </w:tc>
        <w:tc>
          <w:tcPr>
            <w:tcW w:w="85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p>
        </w:tc>
      </w:tr>
    </w:tbl>
    <w:p>
      <w:pPr>
        <w:spacing w:line="560" w:lineRule="exact"/>
        <w:ind w:firstLine="0" w:firstLineChars="0"/>
        <w:jc w:val="center"/>
        <w:rPr>
          <w:rFonts w:hint="default" w:ascii="Times New Roman" w:hAnsi="Times New Roman" w:eastAsia="方正仿宋_GBK" w:cs="Times New Roman"/>
          <w:b/>
          <w:spacing w:val="-6"/>
          <w:sz w:val="32"/>
          <w:szCs w:val="32"/>
        </w:rPr>
      </w:pP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表7-3 规划调节池用地一览表</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013"/>
        <w:gridCol w:w="1650"/>
        <w:gridCol w:w="990"/>
        <w:gridCol w:w="1260"/>
        <w:gridCol w:w="1424"/>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20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调节池</w:t>
            </w:r>
          </w:p>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名称</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规划规模</w:t>
            </w:r>
          </w:p>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Cs w:val="28"/>
              </w:rPr>
              <w:t>）</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状态</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占地面积（</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2</w:t>
            </w:r>
            <w:r>
              <w:rPr>
                <w:rFonts w:hint="default" w:ascii="Times New Roman" w:hAnsi="Times New Roman" w:eastAsia="方正仿宋_GBK" w:cs="Times New Roman"/>
                <w:szCs w:val="28"/>
              </w:rPr>
              <w:t>）</w:t>
            </w:r>
          </w:p>
        </w:tc>
        <w:tc>
          <w:tcPr>
            <w:tcW w:w="142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lang w:eastAsia="zh-CN"/>
              </w:rPr>
            </w:pPr>
            <w:r>
              <w:rPr>
                <w:rFonts w:hint="default" w:ascii="Times New Roman" w:hAnsi="Times New Roman" w:cs="Times New Roman"/>
              </w:rPr>
              <w:t>建设时序</w:t>
            </w:r>
            <w:r>
              <w:rPr>
                <w:rFonts w:hint="default" w:ascii="Times New Roman" w:hAnsi="Times New Roman" w:eastAsia="方正仿宋_GBK" w:cs="Times New Roman"/>
                <w:szCs w:val="28"/>
                <w:lang w:eastAsia="zh-CN"/>
              </w:rPr>
              <w:t>（年）</w:t>
            </w:r>
          </w:p>
        </w:tc>
        <w:tc>
          <w:tcPr>
            <w:tcW w:w="85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20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南青路二次加压泵站调节池</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4000</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新建</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42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2022-2023</w:t>
            </w:r>
          </w:p>
        </w:tc>
        <w:tc>
          <w:tcPr>
            <w:tcW w:w="85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201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南青路</w:t>
            </w:r>
            <w:r>
              <w:rPr>
                <w:rFonts w:hint="default" w:ascii="Times New Roman" w:hAnsi="Times New Roman" w:eastAsia="方正仿宋_GBK" w:cs="Times New Roman"/>
                <w:szCs w:val="28"/>
                <w:highlight w:val="none"/>
                <w:lang w:eastAsia="zh-CN"/>
              </w:rPr>
              <w:t>（</w:t>
            </w:r>
            <w:r>
              <w:rPr>
                <w:rFonts w:hint="default" w:ascii="Times New Roman" w:hAnsi="Times New Roman" w:eastAsia="方正仿宋_GBK" w:cs="Times New Roman"/>
                <w:szCs w:val="28"/>
              </w:rPr>
              <w:t>青杠</w:t>
            </w:r>
            <w:r>
              <w:rPr>
                <w:rFonts w:hint="default" w:ascii="Times New Roman" w:hAnsi="Times New Roman" w:eastAsia="方正仿宋_GBK" w:cs="Times New Roman"/>
                <w:szCs w:val="28"/>
                <w:highlight w:val="none"/>
                <w:lang w:eastAsia="zh-CN"/>
              </w:rPr>
              <w:t>）</w:t>
            </w:r>
            <w:r>
              <w:rPr>
                <w:rFonts w:hint="default" w:ascii="Times New Roman" w:hAnsi="Times New Roman" w:eastAsia="方正仿宋_GBK" w:cs="Times New Roman"/>
                <w:szCs w:val="28"/>
              </w:rPr>
              <w:t>加压泵站调节池</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1000</w:t>
            </w:r>
          </w:p>
        </w:tc>
        <w:tc>
          <w:tcPr>
            <w:tcW w:w="99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新建</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42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2022-2023</w:t>
            </w:r>
          </w:p>
        </w:tc>
        <w:tc>
          <w:tcPr>
            <w:tcW w:w="85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140" w:leftChars="-50" w:right="-140" w:rightChars="-50" w:firstLine="0" w:firstLineChars="0"/>
              <w:jc w:val="center"/>
              <w:textAlignment w:val="auto"/>
              <w:rPr>
                <w:rFonts w:hint="default" w:ascii="Times New Roman" w:hAnsi="Times New Roman" w:eastAsia="方正仿宋_GBK" w:cs="Times New Roman"/>
                <w:szCs w:val="28"/>
              </w:rPr>
            </w:pPr>
          </w:p>
        </w:tc>
      </w:tr>
    </w:tbl>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41" w:name="_Toc28697"/>
      <w:bookmarkStart w:id="242" w:name="_Toc29018"/>
      <w:bookmarkStart w:id="243" w:name="_Toc59975809"/>
      <w:r>
        <w:rPr>
          <w:rFonts w:hint="default" w:ascii="Times New Roman" w:hAnsi="Times New Roman" w:eastAsia="方正黑体_GBK" w:cs="Times New Roman"/>
          <w:b w:val="0"/>
          <w:bCs/>
          <w:kern w:val="2"/>
          <w:sz w:val="32"/>
          <w:szCs w:val="32"/>
        </w:rPr>
        <w:t>二、管网规划</w:t>
      </w:r>
      <w:bookmarkEnd w:id="241"/>
      <w:bookmarkEnd w:id="242"/>
      <w:bookmarkEnd w:id="243"/>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244" w:name="_Toc59975810"/>
      <w:bookmarkStart w:id="245" w:name="_Toc11445"/>
      <w:bookmarkStart w:id="246" w:name="_Toc74734980"/>
      <w:r>
        <w:rPr>
          <w:rFonts w:hint="default" w:ascii="Times New Roman" w:hAnsi="Times New Roman" w:eastAsia="方正楷体_GBK" w:cs="Times New Roman"/>
          <w:sz w:val="32"/>
          <w:szCs w:val="32"/>
        </w:rPr>
        <w:t>（一）新建管网规划</w:t>
      </w:r>
      <w:bookmarkEnd w:id="244"/>
      <w:bookmarkEnd w:id="245"/>
      <w:bookmarkEnd w:id="246"/>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根据城市发展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城区范围扩大</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需要新建管网保障扩展区域供水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具体开展位置如下：</w:t>
      </w:r>
    </w:p>
    <w:p>
      <w:pPr>
        <w:numPr>
          <w:ilvl w:val="0"/>
          <w:numId w:val="2"/>
        </w:num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老城片区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以保障老城与青杠、老城与正阳新城供水逐步形成四片区大环状网络为目标。新建南青路（南沟）加压泵站向青杠片区输水的配套供水管网</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南青路（青杠）加压泵站向正阳片区供水</w:t>
      </w:r>
      <w:r>
        <w:rPr>
          <w:rFonts w:hint="default"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联网管道。</w:t>
      </w:r>
    </w:p>
    <w:p>
      <w:pPr>
        <w:numPr>
          <w:ilvl w:val="0"/>
          <w:numId w:val="2"/>
        </w:numPr>
        <w:spacing w:line="560"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正阳片区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以保障正阳新城供水逐步形成环状网络为目标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随城市道路路网同步完善连接</w:t>
      </w:r>
      <w:r>
        <w:rPr>
          <w:rFonts w:hint="default" w:ascii="Times New Roman" w:hAnsi="Times New Roman" w:eastAsia="方正仿宋_GBK" w:cs="Times New Roman"/>
          <w:color w:val="auto"/>
          <w:sz w:val="32"/>
          <w:szCs w:val="32"/>
        </w:rPr>
        <w:t>管</w:t>
      </w:r>
      <w:r>
        <w:rPr>
          <w:rFonts w:hint="default" w:ascii="Times New Roman" w:hAnsi="Times New Roman" w:eastAsia="方正仿宋_GBK" w:cs="Times New Roman"/>
          <w:color w:val="auto"/>
          <w:sz w:val="32"/>
          <w:szCs w:val="32"/>
          <w:lang w:eastAsia="zh-CN"/>
        </w:rPr>
        <w:t>网</w:t>
      </w:r>
      <w:r>
        <w:rPr>
          <w:rFonts w:hint="default" w:ascii="Times New Roman" w:hAnsi="Times New Roman" w:eastAsia="方正仿宋_GBK" w:cs="Times New Roman"/>
          <w:sz w:val="32"/>
          <w:szCs w:val="32"/>
        </w:rPr>
        <w:t>。新建金龙路下段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园区路北段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武陵大道西</w:t>
      </w:r>
      <w:r>
        <w:rPr>
          <w:rFonts w:hint="default" w:ascii="Times New Roman" w:hAnsi="Times New Roman" w:eastAsia="方正仿宋_GBK" w:cs="Times New Roman"/>
          <w:sz w:val="32"/>
          <w:szCs w:val="32"/>
          <w:highlight w:val="none"/>
        </w:rPr>
        <w:t>侧</w:t>
      </w:r>
      <w:r>
        <w:rPr>
          <w:rFonts w:hint="default" w:ascii="Times New Roman" w:hAnsi="Times New Roman" w:eastAsia="方正仿宋_GBK" w:cs="Times New Roman"/>
          <w:sz w:val="32"/>
          <w:szCs w:val="32"/>
          <w:highlight w:val="none"/>
          <w:lang w:eastAsia="zh-CN"/>
        </w:rPr>
        <w:t>、城市大峡谷景区</w:t>
      </w:r>
      <w:r>
        <w:rPr>
          <w:rFonts w:hint="default" w:ascii="Times New Roman" w:hAnsi="Times New Roman" w:eastAsia="方正仿宋_GBK" w:cs="Times New Roman"/>
          <w:sz w:val="32"/>
          <w:szCs w:val="32"/>
          <w:highlight w:val="none"/>
        </w:rPr>
        <w:t>配</w:t>
      </w:r>
      <w:r>
        <w:rPr>
          <w:rFonts w:hint="default" w:ascii="Times New Roman" w:hAnsi="Times New Roman" w:eastAsia="方正仿宋_GBK" w:cs="Times New Roman"/>
          <w:sz w:val="32"/>
          <w:szCs w:val="32"/>
        </w:rPr>
        <w:t>套项目区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黄沙坝</w:t>
      </w:r>
      <w:r>
        <w:rPr>
          <w:rFonts w:hint="default"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供水管</w:t>
      </w:r>
      <w:r>
        <w:rPr>
          <w:rFonts w:hint="default" w:ascii="Times New Roman" w:hAnsi="Times New Roman" w:eastAsia="方正仿宋_GBK" w:cs="Times New Roman"/>
          <w:sz w:val="32"/>
          <w:szCs w:val="32"/>
          <w:lang w:eastAsia="zh-CN"/>
        </w:rPr>
        <w:t>网</w:t>
      </w:r>
      <w:r>
        <w:rPr>
          <w:rFonts w:hint="default" w:ascii="Times New Roman" w:hAnsi="Times New Roman" w:eastAsia="方正仿宋_GBK" w:cs="Times New Roman"/>
          <w:sz w:val="32"/>
          <w:szCs w:val="32"/>
        </w:rPr>
        <w:t>。</w:t>
      </w:r>
    </w:p>
    <w:p>
      <w:pPr>
        <w:numPr>
          <w:ilvl w:val="0"/>
          <w:numId w:val="2"/>
        </w:numPr>
        <w:spacing w:line="560"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青杠片区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以保障青杠水厂投用同步建设出厂水管道。新建青杠水厂出厂水配套管道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南青路（青杠）供水管网。</w:t>
      </w:r>
    </w:p>
    <w:p>
      <w:pPr>
        <w:numPr>
          <w:ilvl w:val="0"/>
          <w:numId w:val="2"/>
        </w:numPr>
        <w:spacing w:line="560" w:lineRule="exact"/>
        <w:ind w:left="0" w:leftChars="0"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冯家片区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解决冯家片区供水安全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提高供水稳定可靠性。沿国道319线建设应急备用管道</w:t>
      </w:r>
      <w:r>
        <w:rPr>
          <w:rFonts w:hint="default" w:ascii="Times New Roman" w:hAnsi="Times New Roman" w:eastAsia="方正仿宋_GBK" w:cs="Times New Roman"/>
          <w:sz w:val="32"/>
          <w:szCs w:val="32"/>
          <w:lang w:eastAsia="zh-CN"/>
        </w:rPr>
        <w:t>。</w:t>
      </w:r>
    </w:p>
    <w:p>
      <w:pPr>
        <w:numPr>
          <w:ilvl w:val="0"/>
          <w:numId w:val="2"/>
        </w:numPr>
        <w:spacing w:line="560" w:lineRule="exact"/>
        <w:ind w:left="0" w:leftChars="0" w:firstLine="640" w:firstLineChars="200"/>
        <w:rPr>
          <w:rFonts w:hint="default" w:ascii="Times New Roman" w:hAnsi="Times New Roman" w:eastAsia="方正仿宋_GBK" w:cs="Times New Roman"/>
          <w:sz w:val="32"/>
          <w:szCs w:val="32"/>
        </w:rPr>
      </w:pPr>
      <w:bookmarkStart w:id="247" w:name="_Toc59975812"/>
      <w:bookmarkStart w:id="248" w:name="_Toc31181"/>
      <w:bookmarkStart w:id="249" w:name="_Toc74734981"/>
      <w:bookmarkStart w:id="250" w:name="_Toc60430063"/>
      <w:r>
        <w:rPr>
          <w:rFonts w:hint="default" w:ascii="Times New Roman" w:hAnsi="Times New Roman" w:eastAsia="方正仿宋_GBK" w:cs="Times New Roman"/>
          <w:sz w:val="32"/>
          <w:szCs w:val="32"/>
        </w:rPr>
        <w:t>舟白片区</w:t>
      </w:r>
      <w:bookmarkEnd w:id="247"/>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城区供水管网暂无新建需求。</w:t>
      </w:r>
      <w:bookmarkEnd w:id="248"/>
      <w:bookmarkEnd w:id="249"/>
      <w:bookmarkEnd w:id="250"/>
    </w:p>
    <w:p>
      <w:pPr>
        <w:spacing w:line="560" w:lineRule="exact"/>
        <w:ind w:firstLine="640"/>
        <w:rPr>
          <w:rFonts w:hint="default" w:ascii="Times New Roman" w:hAnsi="Times New Roman" w:eastAsia="方正仿宋_GBK" w:cs="Times New Roman"/>
          <w:b/>
          <w:spacing w:val="-6"/>
          <w:sz w:val="32"/>
          <w:szCs w:val="32"/>
        </w:rPr>
      </w:pPr>
      <w:bookmarkStart w:id="251" w:name="_Toc74734982"/>
      <w:r>
        <w:rPr>
          <w:rFonts w:hint="default" w:ascii="Times New Roman" w:hAnsi="Times New Roman" w:eastAsia="方正仿宋_GBK" w:cs="Times New Roman"/>
          <w:sz w:val="32"/>
          <w:szCs w:val="32"/>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蓬东片区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将未来规划的城区扩展范围纳入中心城区供水系统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解决未来蓬东片区供水安全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提高供水稳定可靠性。</w:t>
      </w:r>
      <w:bookmarkEnd w:id="251"/>
      <w:bookmarkStart w:id="252" w:name="_Toc74734983"/>
      <w:r>
        <w:rPr>
          <w:rFonts w:hint="default" w:ascii="Times New Roman" w:hAnsi="Times New Roman" w:eastAsia="方正仿宋_GBK" w:cs="Times New Roman"/>
          <w:sz w:val="32"/>
          <w:szCs w:val="32"/>
        </w:rPr>
        <w:t>新建蔬毛坪</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玉泉村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玉泉村-团结村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团结村-麻田村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团结村-和平村道路沿线管网。</w:t>
      </w:r>
      <w:bookmarkEnd w:id="252"/>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lang w:val="en-US" w:eastAsia="zh-CN"/>
        </w:rPr>
        <w:t xml:space="preserve">             </w:t>
      </w:r>
      <w:r>
        <w:rPr>
          <w:rFonts w:hint="default" w:ascii="Times New Roman" w:hAnsi="Times New Roman" w:eastAsia="方正仿宋_GBK" w:cs="Times New Roman"/>
          <w:b/>
          <w:spacing w:val="-6"/>
          <w:sz w:val="32"/>
          <w:szCs w:val="32"/>
        </w:rPr>
        <w:t>表7-4 新建管网一览表         单位：m</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017"/>
        <w:gridCol w:w="1417"/>
        <w:gridCol w:w="833"/>
        <w:gridCol w:w="1586"/>
        <w:gridCol w:w="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名称</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管径</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长度</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建设时序</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4017" w:type="dxa"/>
            <w:vAlign w:val="center"/>
          </w:tcPr>
          <w:p>
            <w:pPr>
              <w:spacing w:line="400" w:lineRule="exact"/>
              <w:ind w:left="-140" w:leftChars="-50" w:right="-140" w:rightChars="-50" w:firstLine="56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金龙路下段</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DN600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园区路北段（金龙路－香山寺路）</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DN500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1550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园区路北段（香山寺路－阿蓬江路）</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DN400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1650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武陵大道西侧（金龙路－桐坪路）</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DN400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2400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highlight w:val="none"/>
                <w:lang w:eastAsia="zh-CN"/>
              </w:rPr>
              <w:t>城市大峡谷</w:t>
            </w:r>
            <w:r>
              <w:rPr>
                <w:rFonts w:hint="default" w:ascii="Times New Roman" w:hAnsi="Times New Roman" w:eastAsia="方正仿宋_GBK" w:cs="Times New Roman"/>
                <w:szCs w:val="28"/>
                <w:highlight w:val="none"/>
              </w:rPr>
              <w:t>景区配</w:t>
            </w:r>
            <w:r>
              <w:rPr>
                <w:rFonts w:hint="default" w:ascii="Times New Roman" w:hAnsi="Times New Roman" w:eastAsia="方正仿宋_GBK" w:cs="Times New Roman"/>
                <w:szCs w:val="28"/>
              </w:rPr>
              <w:t>套项目区</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DN300-150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5000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沿国道319线应急备用管道</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DN150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7</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黄沙坝</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DN400-300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4250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8</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蔬毛坪道路沿线管网延伸</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DN600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1800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2026-2030</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9</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玉泉村道路沿线管网延伸</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DN500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2026-2030</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10</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玉泉村-团结村道路沿线管网延伸</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DN400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1000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2026-2030</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11</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团结村-麻田村道路沿线管网延伸</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DN400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2026-2030</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12</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团结村-和平村道路沿线管网延伸</w:t>
            </w: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DN300</w:t>
            </w: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2000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2026-2030</w:t>
            </w: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40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1417"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83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26250</w:t>
            </w:r>
          </w:p>
        </w:tc>
        <w:tc>
          <w:tcPr>
            <w:tcW w:w="1586"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560"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bl>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253" w:name="_Toc74734986"/>
      <w:bookmarkStart w:id="254" w:name="_Toc59975813"/>
      <w:bookmarkStart w:id="255" w:name="_Toc12925"/>
      <w:r>
        <w:rPr>
          <w:rFonts w:hint="default" w:ascii="Times New Roman" w:hAnsi="Times New Roman" w:eastAsia="方正楷体_GBK" w:cs="Times New Roman"/>
          <w:sz w:val="32"/>
          <w:szCs w:val="32"/>
        </w:rPr>
        <w:t>（二）老旧管网改造</w:t>
      </w:r>
      <w:bookmarkEnd w:id="253"/>
      <w:bookmarkEnd w:id="254"/>
      <w:bookmarkEnd w:id="255"/>
    </w:p>
    <w:p>
      <w:pPr>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rPr>
        <w:t>城区老旧劣质供水管网改造</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城区老旧管网改造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约65.3千米。</w:t>
      </w:r>
    </w:p>
    <w:p>
      <w:pPr>
        <w:spacing w:line="560" w:lineRule="exact"/>
        <w:ind w:firstLine="64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rPr>
        <w:t>正阳水厂出厂水管改造</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正阳水厂出厂水管道为原简易流程铺设的DN400PE管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输水能力受限。按正阳水厂最终制水规模6.0万</w:t>
      </w:r>
      <w:r>
        <w:rPr>
          <w:rFonts w:hint="default" w:ascii="Times New Roman" w:hAnsi="Times New Roman" w:eastAsia="方正仿宋_GBK" w:cs="Times New Roman"/>
          <w:sz w:val="32"/>
          <w:szCs w:val="32"/>
          <w:highlight w:val="none"/>
        </w:rPr>
        <w:t>m</w:t>
      </w:r>
      <w:r>
        <w:rPr>
          <w:rFonts w:hint="default" w:ascii="Times New Roman" w:hAnsi="Times New Roman" w:eastAsia="方正仿宋_GBK" w:cs="Times New Roman"/>
          <w:sz w:val="32"/>
          <w:szCs w:val="32"/>
          <w:highlight w:val="none"/>
          <w:vertAlign w:val="superscript"/>
        </w:rPr>
        <w:t>3</w:t>
      </w:r>
      <w:r>
        <w:rPr>
          <w:rFonts w:hint="default" w:ascii="Times New Roman" w:hAnsi="Times New Roman" w:eastAsia="方正仿宋_GBK" w:cs="Times New Roman"/>
          <w:sz w:val="32"/>
          <w:szCs w:val="32"/>
        </w:rPr>
        <w:t>/d实施改造。</w:t>
      </w: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lang w:val="en-US" w:eastAsia="zh-CN"/>
        </w:rPr>
        <w:t xml:space="preserve">             </w:t>
      </w:r>
      <w:r>
        <w:rPr>
          <w:rFonts w:hint="default" w:ascii="Times New Roman" w:hAnsi="Times New Roman" w:eastAsia="方正仿宋_GBK" w:cs="Times New Roman"/>
          <w:b/>
          <w:spacing w:val="-6"/>
          <w:sz w:val="32"/>
          <w:szCs w:val="32"/>
        </w:rPr>
        <w:t>表7-5 老旧管网改造一览表         单位：m</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3343"/>
        <w:gridCol w:w="1392"/>
        <w:gridCol w:w="1251"/>
        <w:gridCol w:w="1441"/>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编号</w:t>
            </w:r>
          </w:p>
        </w:tc>
        <w:tc>
          <w:tcPr>
            <w:tcW w:w="334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名称</w:t>
            </w:r>
          </w:p>
        </w:tc>
        <w:tc>
          <w:tcPr>
            <w:tcW w:w="13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管径</w:t>
            </w:r>
          </w:p>
        </w:tc>
        <w:tc>
          <w:tcPr>
            <w:tcW w:w="125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长度</w:t>
            </w:r>
          </w:p>
        </w:tc>
        <w:tc>
          <w:tcPr>
            <w:tcW w:w="14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建设时序</w:t>
            </w:r>
          </w:p>
        </w:tc>
        <w:tc>
          <w:tcPr>
            <w:tcW w:w="79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w:t>
            </w:r>
          </w:p>
        </w:tc>
        <w:tc>
          <w:tcPr>
            <w:tcW w:w="334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城区老旧劣质供水管网改造</w:t>
            </w:r>
          </w:p>
        </w:tc>
        <w:tc>
          <w:tcPr>
            <w:tcW w:w="13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150-600</w:t>
            </w:r>
          </w:p>
        </w:tc>
        <w:tc>
          <w:tcPr>
            <w:tcW w:w="125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65300</w:t>
            </w:r>
          </w:p>
        </w:tc>
        <w:tc>
          <w:tcPr>
            <w:tcW w:w="14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2021-2022</w:t>
            </w:r>
          </w:p>
        </w:tc>
        <w:tc>
          <w:tcPr>
            <w:tcW w:w="79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334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正阳水厂出厂水管改造</w:t>
            </w:r>
          </w:p>
        </w:tc>
        <w:tc>
          <w:tcPr>
            <w:tcW w:w="13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800</w:t>
            </w:r>
          </w:p>
        </w:tc>
        <w:tc>
          <w:tcPr>
            <w:tcW w:w="125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800</w:t>
            </w:r>
          </w:p>
        </w:tc>
        <w:tc>
          <w:tcPr>
            <w:tcW w:w="14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2028-2029</w:t>
            </w:r>
          </w:p>
        </w:tc>
        <w:tc>
          <w:tcPr>
            <w:tcW w:w="79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334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1392"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125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r>
              <w:rPr>
                <w:rFonts w:hint="default" w:ascii="Times New Roman" w:hAnsi="Times New Roman" w:eastAsia="方正仿宋_GBK" w:cs="Times New Roman"/>
                <w:szCs w:val="28"/>
              </w:rPr>
              <w:t>66100</w:t>
            </w:r>
          </w:p>
        </w:tc>
        <w:tc>
          <w:tcPr>
            <w:tcW w:w="1441"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c>
          <w:tcPr>
            <w:tcW w:w="793" w:type="dxa"/>
            <w:vAlign w:val="center"/>
          </w:tcPr>
          <w:p>
            <w:pPr>
              <w:spacing w:line="400" w:lineRule="exact"/>
              <w:ind w:left="-140" w:leftChars="-50" w:right="-140" w:rightChars="-50" w:firstLine="0" w:firstLineChars="0"/>
              <w:jc w:val="center"/>
              <w:rPr>
                <w:rFonts w:hint="default" w:ascii="Times New Roman" w:hAnsi="Times New Roman" w:eastAsia="方正仿宋_GBK" w:cs="Times New Roman"/>
                <w:szCs w:val="28"/>
              </w:rPr>
            </w:pPr>
          </w:p>
        </w:tc>
      </w:tr>
    </w:tbl>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方正楷体_GBK" w:cs="Times New Roman"/>
          <w:sz w:val="32"/>
          <w:szCs w:val="32"/>
        </w:rPr>
      </w:pPr>
      <w:bookmarkStart w:id="256" w:name="_Toc4154"/>
      <w:bookmarkStart w:id="257" w:name="_Toc74734987"/>
      <w:bookmarkStart w:id="258" w:name="_Toc59975814"/>
      <w:r>
        <w:rPr>
          <w:rFonts w:hint="default" w:ascii="Times New Roman" w:hAnsi="Times New Roman" w:eastAsia="方正楷体_GBK" w:cs="Times New Roman"/>
          <w:sz w:val="32"/>
          <w:szCs w:val="32"/>
        </w:rPr>
        <w:t>（三）</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一户一表</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老旧小区配套供水设施实施改造</w:t>
      </w:r>
      <w:bookmarkEnd w:id="256"/>
      <w:bookmarkEnd w:id="257"/>
      <w:bookmarkEnd w:id="258"/>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坚持“政府主导、企业主体、用户自愿”的原则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继续推进实行总表计量管理的城市居民用水“一户一表”改造。在已完成改造情况下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剩</w:t>
      </w:r>
      <w:r>
        <w:rPr>
          <w:rFonts w:hint="default" w:ascii="Times New Roman" w:hAnsi="Times New Roman" w:eastAsia="方正仿宋_GBK" w:cs="Times New Roman"/>
          <w:sz w:val="32"/>
          <w:szCs w:val="32"/>
          <w:lang w:eastAsia="zh-CN"/>
        </w:rPr>
        <w:t>余</w:t>
      </w:r>
      <w:r>
        <w:rPr>
          <w:rFonts w:hint="default" w:ascii="Times New Roman" w:hAnsi="Times New Roman" w:eastAsia="方正仿宋_GBK" w:cs="Times New Roman"/>
          <w:sz w:val="32"/>
          <w:szCs w:val="32"/>
        </w:rPr>
        <w:t>14232万余户在居民和自愿的前提下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分两批次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力争在2023年前全面完成辖区城市居民用水“一户一表”改造任务。</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59" w:name="_Toc19726"/>
      <w:bookmarkStart w:id="260" w:name="_Toc60430072"/>
      <w:bookmarkStart w:id="261" w:name="_Toc27756"/>
      <w:bookmarkStart w:id="262" w:name="_Toc59975821"/>
      <w:bookmarkStart w:id="263" w:name="_Toc20247093"/>
      <w:bookmarkStart w:id="264" w:name="_Toc469421716"/>
      <w:bookmarkStart w:id="265" w:name="_Toc15888480"/>
      <w:bookmarkStart w:id="266" w:name="_Toc374950191"/>
      <w:r>
        <w:rPr>
          <w:rFonts w:hint="default" w:ascii="Times New Roman" w:hAnsi="Times New Roman" w:eastAsia="方正黑体_GBK" w:cs="Times New Roman"/>
          <w:b w:val="0"/>
          <w:bCs/>
          <w:kern w:val="2"/>
          <w:sz w:val="32"/>
          <w:szCs w:val="32"/>
        </w:rPr>
        <w:t>三、管材选择建议</w:t>
      </w:r>
      <w:bookmarkEnd w:id="259"/>
      <w:bookmarkEnd w:id="260"/>
      <w:bookmarkEnd w:id="261"/>
      <w:bookmarkEnd w:id="262"/>
      <w:bookmarkEnd w:id="263"/>
      <w:bookmarkEnd w:id="264"/>
      <w:bookmarkEnd w:id="265"/>
      <w:bookmarkEnd w:id="266"/>
    </w:p>
    <w:p>
      <w:pPr>
        <w:spacing w:line="560" w:lineRule="exact"/>
        <w:ind w:firstLine="640"/>
        <w:rPr>
          <w:rFonts w:hint="default" w:ascii="Times New Roman" w:hAnsi="Times New Roman" w:cs="Times New Roman"/>
          <w:sz w:val="32"/>
          <w:szCs w:val="32"/>
        </w:rPr>
      </w:pPr>
      <w:r>
        <w:rPr>
          <w:rFonts w:hint="default" w:ascii="Times New Roman" w:hAnsi="Times New Roman" w:eastAsia="方正仿宋_GBK" w:cs="Times New Roman"/>
          <w:sz w:val="32"/>
          <w:szCs w:val="32"/>
        </w:rPr>
        <w:t>鉴于供水管网工作压力较大的特点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并结合当地的使用经验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在本规划中考虑：工作压力较大的线路或地质情况复杂的地段采用钢管；工作压力较小的线路且较直地段采用非金属管道。为了保证管道质量及使用年限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本规划建议DN400及以下管道采用焊接钢管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DN400以上管道采</w:t>
      </w:r>
      <w:r>
        <w:rPr>
          <w:rFonts w:hint="default" w:ascii="Times New Roman" w:hAnsi="Times New Roman" w:eastAsia="方正仿宋_GBK" w:cs="Times New Roman"/>
          <w:color w:val="auto"/>
          <w:sz w:val="32"/>
          <w:szCs w:val="32"/>
          <w:highlight w:val="none"/>
        </w:rPr>
        <w:t>用</w:t>
      </w:r>
      <w:r>
        <w:rPr>
          <w:rFonts w:hint="default" w:ascii="Times New Roman" w:hAnsi="Times New Roman" w:eastAsia="方正仿宋_GBK" w:cs="Times New Roman"/>
          <w:color w:val="auto"/>
          <w:sz w:val="32"/>
          <w:szCs w:val="32"/>
          <w:highlight w:val="none"/>
          <w:lang w:eastAsia="zh-CN"/>
        </w:rPr>
        <w:t>球墨</w:t>
      </w:r>
      <w:r>
        <w:rPr>
          <w:rFonts w:hint="default" w:ascii="Times New Roman" w:hAnsi="Times New Roman" w:eastAsia="方正仿宋_GBK" w:cs="Times New Roman"/>
          <w:color w:val="auto"/>
          <w:sz w:val="32"/>
          <w:szCs w:val="32"/>
          <w:highlight w:val="none"/>
        </w:rPr>
        <w:t>铸</w:t>
      </w:r>
      <w:r>
        <w:rPr>
          <w:rFonts w:hint="default" w:ascii="Times New Roman" w:hAnsi="Times New Roman" w:eastAsia="方正仿宋_GBK" w:cs="Times New Roman"/>
          <w:sz w:val="32"/>
          <w:szCs w:val="32"/>
        </w:rPr>
        <w:t>铁管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DN150及以下采用塑料管。</w:t>
      </w:r>
      <w:bookmarkStart w:id="267" w:name="_Toc18285"/>
      <w:bookmarkStart w:id="268" w:name="_Toc59975823"/>
    </w:p>
    <w:p>
      <w:pPr>
        <w:rPr>
          <w:rFonts w:hint="default" w:ascii="Times New Roman" w:hAnsi="Times New Roman" w:cs="Times New Roman"/>
        </w:rPr>
      </w:pPr>
    </w:p>
    <w:p>
      <w:pPr>
        <w:pStyle w:val="4"/>
        <w:spacing w:before="0" w:after="0" w:line="560" w:lineRule="exact"/>
        <w:ind w:left="0" w:leftChars="0" w:firstLine="0" w:firstLineChars="0"/>
        <w:jc w:val="center"/>
        <w:rPr>
          <w:rFonts w:hint="default" w:ascii="Times New Roman" w:hAnsi="Times New Roman" w:eastAsia="方正小标宋_GBK" w:cs="Times New Roman"/>
          <w:b w:val="0"/>
          <w:bCs w:val="0"/>
          <w:sz w:val="44"/>
          <w:szCs w:val="44"/>
        </w:rPr>
      </w:pPr>
      <w:bookmarkStart w:id="269" w:name="_Toc14188"/>
      <w:r>
        <w:rPr>
          <w:rFonts w:hint="default" w:ascii="Times New Roman" w:hAnsi="Times New Roman" w:eastAsia="方正小标宋_GBK" w:cs="Times New Roman"/>
          <w:b w:val="0"/>
          <w:bCs w:val="0"/>
          <w:sz w:val="44"/>
          <w:szCs w:val="44"/>
        </w:rPr>
        <w:t>第八章 应急保障规划</w:t>
      </w:r>
      <w:bookmarkEnd w:id="267"/>
      <w:bookmarkEnd w:id="268"/>
      <w:bookmarkEnd w:id="269"/>
      <w:bookmarkStart w:id="270" w:name="_Toc29372"/>
      <w:bookmarkStart w:id="271" w:name="_Toc59975824"/>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72" w:name="_Toc29039"/>
      <w:r>
        <w:rPr>
          <w:rFonts w:hint="default" w:ascii="Times New Roman" w:hAnsi="Times New Roman" w:eastAsia="方正黑体_GBK" w:cs="Times New Roman"/>
          <w:b w:val="0"/>
          <w:bCs/>
          <w:kern w:val="2"/>
          <w:sz w:val="32"/>
          <w:szCs w:val="32"/>
        </w:rPr>
        <w:t>一、水源应急保障规划</w:t>
      </w:r>
      <w:bookmarkEnd w:id="270"/>
      <w:bookmarkEnd w:id="271"/>
      <w:bookmarkEnd w:id="272"/>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（一）</w:t>
      </w:r>
      <w:r>
        <w:rPr>
          <w:rFonts w:hint="default" w:ascii="Times New Roman" w:hAnsi="Times New Roman" w:eastAsia="方正仿宋_GBK" w:cs="Times New Roman"/>
          <w:sz w:val="32"/>
          <w:szCs w:val="32"/>
        </w:rPr>
        <w:t>为保证城市安全供水</w:t>
      </w:r>
      <w:r>
        <w:rPr>
          <w:rFonts w:hint="default" w:ascii="Times New Roman" w:hAnsi="Times New Roman" w:eastAsia="方正仿宋_GBK" w:cs="Times New Roman"/>
          <w:sz w:val="32"/>
          <w:szCs w:val="32"/>
          <w:lang w:eastAsia="zh-CN"/>
        </w:rPr>
        <w:t>，区级相关部门</w:t>
      </w:r>
      <w:r>
        <w:rPr>
          <w:rFonts w:hint="default" w:ascii="Times New Roman" w:hAnsi="Times New Roman" w:eastAsia="方正仿宋_GBK" w:cs="Times New Roman"/>
          <w:sz w:val="32"/>
          <w:szCs w:val="32"/>
        </w:rPr>
        <w:t>从流域管理的角度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各司其职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各尽其责。</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（二）</w:t>
      </w:r>
      <w:r>
        <w:rPr>
          <w:rFonts w:hint="default" w:ascii="Times New Roman" w:hAnsi="Times New Roman" w:eastAsia="方正仿宋_GBK" w:cs="Times New Roman"/>
          <w:sz w:val="32"/>
          <w:szCs w:val="32"/>
        </w:rPr>
        <w:t>供水企业建立定期水源巡查制度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一旦发现水源水质异常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及时通报环保部门共同查找原因；</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（三）</w:t>
      </w:r>
      <w:r>
        <w:rPr>
          <w:rFonts w:hint="default" w:ascii="Times New Roman" w:hAnsi="Times New Roman" w:eastAsia="方正仿宋_GBK" w:cs="Times New Roman"/>
          <w:sz w:val="32"/>
          <w:szCs w:val="32"/>
        </w:rPr>
        <w:t>供水主管部门牵头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加强协作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建立信息共享机制。建立上、下游供水企业的联系制度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及时了解上游水情、水质的变化情况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提前制定预案加以解决。</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（四）</w:t>
      </w:r>
      <w:r>
        <w:rPr>
          <w:rFonts w:hint="default" w:ascii="Times New Roman" w:hAnsi="Times New Roman" w:eastAsia="方正仿宋_GBK" w:cs="Times New Roman"/>
          <w:sz w:val="32"/>
          <w:szCs w:val="32"/>
        </w:rPr>
        <w:t>饮用水源地保护。在水源保护区设立明显的范围标志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w:t>
      </w:r>
      <w:r>
        <w:rPr>
          <w:rFonts w:hint="default" w:ascii="Times New Roman" w:hAnsi="Times New Roman" w:eastAsia="方正仿宋_GBK" w:cs="Times New Roman"/>
          <w:sz w:val="32"/>
          <w:szCs w:val="32"/>
          <w:lang w:eastAsia="zh-CN"/>
        </w:rPr>
        <w:t>以区政府名义</w:t>
      </w:r>
      <w:r>
        <w:rPr>
          <w:rFonts w:hint="default" w:ascii="Times New Roman" w:hAnsi="Times New Roman" w:eastAsia="方正仿宋_GBK" w:cs="Times New Roman"/>
          <w:sz w:val="32"/>
          <w:szCs w:val="32"/>
        </w:rPr>
        <w:t>设立告示牌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由政府行文发布公告和司法机关立法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提出水源卫生防护带水质保护要求和法规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并监督贯彻执行。</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73" w:name="_Toc8593"/>
      <w:bookmarkStart w:id="274" w:name="_Toc13501"/>
      <w:bookmarkStart w:id="275" w:name="_Toc59975825"/>
      <w:r>
        <w:rPr>
          <w:rFonts w:hint="default" w:ascii="Times New Roman" w:hAnsi="Times New Roman" w:eastAsia="方正黑体_GBK" w:cs="Times New Roman"/>
          <w:b w:val="0"/>
          <w:bCs/>
          <w:kern w:val="2"/>
          <w:sz w:val="32"/>
          <w:szCs w:val="32"/>
        </w:rPr>
        <w:t>二、水厂应急保障规划</w:t>
      </w:r>
      <w:bookmarkEnd w:id="273"/>
      <w:bookmarkEnd w:id="274"/>
      <w:bookmarkEnd w:id="275"/>
    </w:p>
    <w:p>
      <w:pPr>
        <w:spacing w:line="560" w:lineRule="exact"/>
        <w:ind w:firstLine="640"/>
        <w:rPr>
          <w:rFonts w:hint="default" w:ascii="Times New Roman" w:hAnsi="Times New Roman" w:eastAsia="方正楷体_GBK" w:cs="Times New Roman"/>
          <w:sz w:val="32"/>
          <w:szCs w:val="32"/>
        </w:rPr>
      </w:pPr>
      <w:bookmarkStart w:id="276" w:name="_Toc167176735"/>
      <w:bookmarkStart w:id="277" w:name="_Toc10588"/>
      <w:bookmarkStart w:id="278" w:name="_Toc15888485"/>
      <w:bookmarkStart w:id="279" w:name="_Toc59975826"/>
      <w:bookmarkStart w:id="280" w:name="_Toc20247098"/>
      <w:r>
        <w:rPr>
          <w:rFonts w:hint="default" w:ascii="Times New Roman" w:hAnsi="Times New Roman" w:eastAsia="方正楷体_GBK" w:cs="Times New Roman"/>
          <w:sz w:val="32"/>
          <w:szCs w:val="32"/>
        </w:rPr>
        <w:t>（一）供水水质应急保障体系</w:t>
      </w:r>
      <w:bookmarkEnd w:id="276"/>
      <w:bookmarkEnd w:id="277"/>
      <w:bookmarkEnd w:id="278"/>
      <w:bookmarkEnd w:id="279"/>
      <w:bookmarkEnd w:id="280"/>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1.建立以“质量”为关注点的企业文化</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2.不断完善供水水质管理体系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保障供水优质安全</w:t>
      </w:r>
    </w:p>
    <w:p>
      <w:pPr>
        <w:spacing w:line="560" w:lineRule="exact"/>
        <w:ind w:firstLine="640"/>
        <w:rPr>
          <w:rFonts w:hint="default" w:ascii="Times New Roman" w:hAnsi="Times New Roman" w:eastAsia="方正楷体_GBK" w:cs="Times New Roman"/>
          <w:sz w:val="32"/>
          <w:szCs w:val="32"/>
        </w:rPr>
      </w:pPr>
      <w:bookmarkStart w:id="281" w:name="_Toc18502"/>
      <w:bookmarkStart w:id="282" w:name="_Toc15888486"/>
      <w:bookmarkStart w:id="283" w:name="_Toc167176736"/>
      <w:bookmarkStart w:id="284" w:name="_Toc20247099"/>
      <w:bookmarkStart w:id="285" w:name="_Toc59975827"/>
      <w:r>
        <w:rPr>
          <w:rFonts w:hint="default" w:ascii="Times New Roman" w:hAnsi="Times New Roman" w:eastAsia="方正楷体_GBK" w:cs="Times New Roman"/>
          <w:sz w:val="32"/>
          <w:szCs w:val="32"/>
        </w:rPr>
        <w:t>（二）供电应急保障体系</w:t>
      </w:r>
      <w:bookmarkEnd w:id="281"/>
      <w:bookmarkEnd w:id="282"/>
      <w:bookmarkEnd w:id="283"/>
      <w:bookmarkEnd w:id="284"/>
      <w:bookmarkEnd w:id="285"/>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由于黔江城区特殊的地理特征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城周高地多级泵站供水是黔江主要的供水方式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因此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确保供电系统的正常运行是保证安全平稳供水的前提。</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highlight w:val="none"/>
        </w:rPr>
        <w:t>.将供水企业用电列为</w:t>
      </w:r>
      <w:r>
        <w:rPr>
          <w:rFonts w:hint="default" w:ascii="Times New Roman" w:hAnsi="Times New Roman" w:eastAsia="方正仿宋_GBK" w:cs="Times New Roman"/>
          <w:sz w:val="32"/>
          <w:szCs w:val="32"/>
        </w:rPr>
        <w:t>一级负荷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以保障持续稳定供电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并控制电压波动范围；</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2.各加压站配置备用电源。</w:t>
      </w:r>
    </w:p>
    <w:p>
      <w:pPr>
        <w:spacing w:line="560" w:lineRule="exact"/>
        <w:ind w:firstLine="640"/>
        <w:rPr>
          <w:rFonts w:hint="default" w:ascii="Times New Roman" w:hAnsi="Times New Roman" w:eastAsia="方正楷体_GBK" w:cs="Times New Roman"/>
          <w:sz w:val="32"/>
          <w:szCs w:val="32"/>
        </w:rPr>
      </w:pPr>
      <w:bookmarkStart w:id="286" w:name="_Toc12071"/>
      <w:bookmarkStart w:id="287" w:name="_Toc20247100"/>
      <w:bookmarkStart w:id="288" w:name="_Toc59975828"/>
      <w:bookmarkStart w:id="289" w:name="_Toc167176737"/>
      <w:bookmarkStart w:id="290" w:name="_Toc15888487"/>
      <w:r>
        <w:rPr>
          <w:rFonts w:hint="default" w:ascii="Times New Roman" w:hAnsi="Times New Roman" w:eastAsia="方正楷体_GBK" w:cs="Times New Roman"/>
          <w:sz w:val="32"/>
          <w:szCs w:val="32"/>
        </w:rPr>
        <w:t>（三）供水设施应急保障体系</w:t>
      </w:r>
      <w:bookmarkEnd w:id="286"/>
      <w:bookmarkEnd w:id="287"/>
      <w:bookmarkEnd w:id="288"/>
      <w:bookmarkEnd w:id="289"/>
      <w:bookmarkEnd w:id="290"/>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1.针对目前黔江区供水现状分析中所存在的问题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建立风险评估体系。分别对各类生产设施、设备进行风险评估；对高风险值的系统和设备、设施提出改进措施并加以实施；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2.近期配置EAM（设备管理系统）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定期对水厂和管网资产的效能和状态进行评估；根据评估结果制定科学的年度资本性支出更新及改造计划；</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color w:val="auto"/>
          <w:sz w:val="32"/>
          <w:szCs w:val="32"/>
          <w:highlight w:val="none"/>
        </w:rPr>
        <w:t>推广应用水厂</w:t>
      </w:r>
      <w:r>
        <w:rPr>
          <w:rFonts w:hint="default" w:ascii="Times New Roman" w:hAnsi="Times New Roman" w:eastAsia="方正仿宋_GBK" w:cs="Times New Roman"/>
          <w:color w:val="auto"/>
          <w:sz w:val="32"/>
          <w:szCs w:val="32"/>
          <w:highlight w:val="none"/>
          <w:lang w:eastAsia="zh-CN"/>
        </w:rPr>
        <w:t>相关</w:t>
      </w:r>
      <w:r>
        <w:rPr>
          <w:rFonts w:hint="default" w:ascii="Times New Roman" w:hAnsi="Times New Roman" w:eastAsia="方正仿宋_GBK" w:cs="Times New Roman"/>
          <w:color w:val="auto"/>
          <w:sz w:val="32"/>
          <w:szCs w:val="32"/>
          <w:highlight w:val="none"/>
        </w:rPr>
        <w:t>新技</w:t>
      </w:r>
      <w:r>
        <w:rPr>
          <w:rFonts w:hint="default" w:ascii="Times New Roman" w:hAnsi="Times New Roman" w:eastAsia="方正仿宋_GBK" w:cs="Times New Roman"/>
          <w:sz w:val="32"/>
          <w:szCs w:val="32"/>
        </w:rPr>
        <w:t>术、新设备；</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4.在水厂</w:t>
      </w:r>
      <w:r>
        <w:rPr>
          <w:rFonts w:hint="default" w:ascii="Times New Roman" w:hAnsi="Times New Roman" w:eastAsia="方正仿宋_GBK" w:cs="Times New Roman"/>
          <w:sz w:val="32"/>
          <w:szCs w:val="32"/>
          <w:highlight w:val="none"/>
          <w:lang w:eastAsia="zh-CN"/>
        </w:rPr>
        <w:t>及其他</w:t>
      </w:r>
      <w:r>
        <w:rPr>
          <w:rFonts w:hint="default" w:ascii="Times New Roman" w:hAnsi="Times New Roman" w:eastAsia="方正仿宋_GBK" w:cs="Times New Roman"/>
          <w:sz w:val="32"/>
          <w:szCs w:val="32"/>
        </w:rPr>
        <w:t>重要生产区域采用CCTV监控系统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并设立风向标及紧急事件报警系统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提高安全保卫措施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以应对突发破坏事件的发生；</w:t>
      </w:r>
      <w:bookmarkStart w:id="291" w:name="_Toc59975829"/>
      <w:bookmarkStart w:id="292" w:name="_Toc60430080"/>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5.进一步提高三元宫、白家湾两座老旧水厂供水系</w:t>
      </w:r>
      <w:r>
        <w:rPr>
          <w:rFonts w:hint="default" w:ascii="Times New Roman" w:hAnsi="Times New Roman" w:eastAsia="方正仿宋_GBK" w:cs="Times New Roman"/>
          <w:sz w:val="32"/>
          <w:szCs w:val="32"/>
          <w:highlight w:val="none"/>
        </w:rPr>
        <w:t>统</w:t>
      </w:r>
      <w:r>
        <w:rPr>
          <w:rFonts w:hint="default" w:ascii="Times New Roman" w:hAnsi="Times New Roman" w:eastAsia="方正仿宋_GBK" w:cs="Times New Roman"/>
          <w:sz w:val="32"/>
          <w:szCs w:val="32"/>
          <w:highlight w:val="none"/>
          <w:lang w:eastAsia="zh-CN"/>
        </w:rPr>
        <w:t>智能化</w:t>
      </w:r>
      <w:r>
        <w:rPr>
          <w:rFonts w:hint="default" w:ascii="Times New Roman" w:hAnsi="Times New Roman" w:eastAsia="方正仿宋_GBK" w:cs="Times New Roman"/>
          <w:sz w:val="32"/>
          <w:szCs w:val="32"/>
          <w:highlight w:val="none"/>
        </w:rPr>
        <w:t>水</w:t>
      </w:r>
      <w:r>
        <w:rPr>
          <w:rFonts w:hint="default" w:ascii="Times New Roman" w:hAnsi="Times New Roman" w:eastAsia="方正仿宋_GBK" w:cs="Times New Roman"/>
          <w:sz w:val="32"/>
          <w:szCs w:val="32"/>
        </w:rPr>
        <w:t>平</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对投药、消毒、监测等关键环节实现全</w:t>
      </w:r>
      <w:r>
        <w:rPr>
          <w:rFonts w:hint="default" w:ascii="Times New Roman" w:hAnsi="Times New Roman" w:eastAsia="方正仿宋_GBK" w:cs="Times New Roman"/>
          <w:sz w:val="32"/>
          <w:szCs w:val="32"/>
          <w:highlight w:val="none"/>
        </w:rPr>
        <w:t>面</w:t>
      </w:r>
      <w:r>
        <w:rPr>
          <w:rFonts w:hint="default" w:ascii="Times New Roman" w:hAnsi="Times New Roman" w:eastAsia="方正仿宋_GBK" w:cs="Times New Roman"/>
          <w:sz w:val="32"/>
          <w:szCs w:val="32"/>
          <w:highlight w:val="none"/>
          <w:lang w:eastAsia="zh-CN"/>
        </w:rPr>
        <w:t>智能</w:t>
      </w:r>
      <w:r>
        <w:rPr>
          <w:rFonts w:hint="default" w:ascii="Times New Roman" w:hAnsi="Times New Roman" w:eastAsia="方正仿宋_GBK" w:cs="Times New Roman"/>
          <w:sz w:val="32"/>
          <w:szCs w:val="32"/>
          <w:highlight w:val="none"/>
        </w:rPr>
        <w:t>控</w:t>
      </w:r>
      <w:r>
        <w:rPr>
          <w:rFonts w:hint="default" w:ascii="Times New Roman" w:hAnsi="Times New Roman" w:eastAsia="方正仿宋_GBK" w:cs="Times New Roman"/>
          <w:sz w:val="32"/>
          <w:szCs w:val="32"/>
        </w:rPr>
        <w:t>制。</w:t>
      </w:r>
      <w:bookmarkEnd w:id="291"/>
      <w:bookmarkEnd w:id="292"/>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293" w:name="_Toc16855"/>
      <w:bookmarkStart w:id="294" w:name="_Toc59975830"/>
      <w:bookmarkStart w:id="295" w:name="_Toc10524"/>
      <w:r>
        <w:rPr>
          <w:rFonts w:hint="default" w:ascii="Times New Roman" w:hAnsi="Times New Roman" w:eastAsia="方正黑体_GBK" w:cs="Times New Roman"/>
          <w:b w:val="0"/>
          <w:bCs/>
          <w:kern w:val="2"/>
          <w:sz w:val="32"/>
          <w:szCs w:val="32"/>
        </w:rPr>
        <w:t>三、应急管理规划</w:t>
      </w:r>
      <w:bookmarkEnd w:id="293"/>
      <w:bookmarkEnd w:id="294"/>
      <w:bookmarkEnd w:id="295"/>
    </w:p>
    <w:p>
      <w:pPr>
        <w:spacing w:line="560" w:lineRule="exact"/>
        <w:ind w:firstLine="640"/>
        <w:rPr>
          <w:rFonts w:hint="default" w:ascii="Times New Roman" w:hAnsi="Times New Roman" w:eastAsia="方正楷体_GBK" w:cs="Times New Roman"/>
          <w:sz w:val="32"/>
          <w:szCs w:val="32"/>
        </w:rPr>
      </w:pPr>
      <w:bookmarkStart w:id="296" w:name="_Toc20247101"/>
      <w:bookmarkStart w:id="297" w:name="_Toc15888488"/>
      <w:bookmarkStart w:id="298" w:name="_Toc167176738"/>
      <w:bookmarkStart w:id="299" w:name="_Toc15676"/>
      <w:bookmarkStart w:id="300" w:name="_Toc59975831"/>
      <w:r>
        <w:rPr>
          <w:rFonts w:hint="default" w:ascii="Times New Roman" w:hAnsi="Times New Roman" w:eastAsia="方正楷体_GBK" w:cs="Times New Roman"/>
          <w:sz w:val="32"/>
          <w:szCs w:val="32"/>
        </w:rPr>
        <w:t>（一）城市供水服务</w:t>
      </w:r>
      <w:bookmarkEnd w:id="296"/>
      <w:bookmarkEnd w:id="297"/>
      <w:bookmarkEnd w:id="298"/>
      <w:r>
        <w:rPr>
          <w:rFonts w:hint="default" w:ascii="Times New Roman" w:hAnsi="Times New Roman" w:eastAsia="方正楷体_GBK" w:cs="Times New Roman"/>
          <w:sz w:val="32"/>
          <w:szCs w:val="32"/>
        </w:rPr>
        <w:t>管理</w:t>
      </w:r>
      <w:bookmarkEnd w:id="299"/>
      <w:bookmarkEnd w:id="300"/>
    </w:p>
    <w:p>
      <w:pPr>
        <w:spacing w:line="560" w:lineRule="exact"/>
        <w:ind w:firstLine="64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1.在政府供水、规划、建设主管部门的统一协调领导下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加大城市</w:t>
      </w:r>
      <w:r>
        <w:rPr>
          <w:rFonts w:hint="default" w:ascii="Times New Roman" w:hAnsi="Times New Roman" w:eastAsia="方正仿宋_GBK" w:cs="Times New Roman"/>
          <w:sz w:val="32"/>
          <w:szCs w:val="32"/>
          <w:lang w:eastAsia="zh-CN"/>
        </w:rPr>
        <w:t>老旧</w:t>
      </w:r>
      <w:r>
        <w:rPr>
          <w:rFonts w:hint="default" w:ascii="Times New Roman" w:hAnsi="Times New Roman" w:eastAsia="方正仿宋_GBK" w:cs="Times New Roman"/>
          <w:sz w:val="32"/>
          <w:szCs w:val="32"/>
        </w:rPr>
        <w:t>管网改造力度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降低爆管率和漏失率</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提高供水水质；</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highlight w:val="none"/>
        </w:rPr>
        <w:t>2.建立管网GIS地理信息系统和供水系统水力数学</w:t>
      </w:r>
      <w:r>
        <w:rPr>
          <w:rFonts w:hint="default" w:ascii="Times New Roman" w:hAnsi="Times New Roman" w:eastAsia="方正仿宋_GBK" w:cs="Times New Roman"/>
          <w:sz w:val="32"/>
          <w:szCs w:val="32"/>
        </w:rPr>
        <w:t>模型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对管网规划、设计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日常管网运行调度及抢修提供</w:t>
      </w:r>
      <w:r>
        <w:rPr>
          <w:rFonts w:hint="default" w:ascii="Times New Roman" w:hAnsi="Times New Roman" w:eastAsia="方正仿宋_GBK" w:cs="Times New Roman"/>
          <w:sz w:val="32"/>
          <w:szCs w:val="32"/>
          <w:highlight w:val="none"/>
        </w:rPr>
        <w:t>科学的指导</w:t>
      </w:r>
      <w:r>
        <w:rPr>
          <w:rFonts w:hint="default" w:ascii="Times New Roman" w:hAnsi="Times New Roman" w:eastAsia="方正仿宋_GBK" w:cs="Times New Roman"/>
          <w:sz w:val="32"/>
          <w:szCs w:val="32"/>
        </w:rPr>
        <w:t>依据；</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3.整合供水企业内各部门的信息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w:t>
      </w:r>
      <w:r>
        <w:rPr>
          <w:rFonts w:hint="default" w:ascii="Times New Roman" w:hAnsi="Times New Roman" w:eastAsia="方正仿宋_GBK" w:cs="Times New Roman"/>
          <w:sz w:val="32"/>
          <w:szCs w:val="32"/>
          <w:lang w:eastAsia="zh-CN"/>
        </w:rPr>
        <w:t>立</w:t>
      </w:r>
      <w:r>
        <w:rPr>
          <w:rFonts w:hint="default" w:ascii="Times New Roman" w:hAnsi="Times New Roman" w:eastAsia="方正仿宋_GBK" w:cs="Times New Roman"/>
          <w:sz w:val="32"/>
          <w:szCs w:val="32"/>
        </w:rPr>
        <w:t>客户服务中心和用户报装系统。实现一个电话对外的服务承诺。用户可以通过电话拨入、手机拨入、传真接入、计算机及modem拨号连接和Internet访问等多种方式进入客户服务中心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实现用户网上缴费、信息查询和报装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lang w:eastAsia="zh-CN"/>
        </w:rPr>
        <w:t>为用户</w:t>
      </w:r>
      <w:r>
        <w:rPr>
          <w:rFonts w:hint="default" w:ascii="Times New Roman" w:hAnsi="Times New Roman" w:eastAsia="方正仿宋_GBK" w:cs="Times New Roman"/>
          <w:color w:val="auto"/>
          <w:sz w:val="32"/>
          <w:szCs w:val="32"/>
        </w:rPr>
        <w:t>获取各</w:t>
      </w:r>
      <w:r>
        <w:rPr>
          <w:rFonts w:hint="default" w:ascii="Times New Roman" w:hAnsi="Times New Roman" w:eastAsia="方正仿宋_GBK" w:cs="Times New Roman"/>
          <w:sz w:val="32"/>
          <w:szCs w:val="32"/>
        </w:rPr>
        <w:t>种信息咨询和信息服务。</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4.加快</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一户一表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改造及智能水表的推广使用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提高服务水平</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降低用户投诉率；</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5.加强管网的定期维护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对管网中的消火栓及枝状末端管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定期进行冲排以保证管网水质。</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6.建立管网压力、水质在线监测系统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优化水厂生产调度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缩短供水安全保障体系响应时间。</w:t>
      </w:r>
    </w:p>
    <w:p>
      <w:pPr>
        <w:spacing w:line="560" w:lineRule="exact"/>
        <w:ind w:firstLine="640"/>
        <w:rPr>
          <w:rFonts w:hint="default" w:ascii="Times New Roman" w:hAnsi="Times New Roman" w:eastAsia="方正楷体_GBK" w:cs="Times New Roman"/>
          <w:sz w:val="32"/>
          <w:szCs w:val="32"/>
        </w:rPr>
      </w:pPr>
      <w:bookmarkStart w:id="301" w:name="_Toc21598"/>
      <w:bookmarkStart w:id="302" w:name="_Toc59975832"/>
      <w:bookmarkStart w:id="303" w:name="_Toc167176739"/>
      <w:bookmarkStart w:id="304" w:name="_Toc15888489"/>
      <w:bookmarkStart w:id="305" w:name="_Toc20247102"/>
      <w:r>
        <w:rPr>
          <w:rFonts w:hint="default" w:ascii="Times New Roman" w:hAnsi="Times New Roman" w:eastAsia="方正楷体_GBK" w:cs="Times New Roman"/>
          <w:sz w:val="32"/>
          <w:szCs w:val="32"/>
        </w:rPr>
        <w:t>（二）城市供水突发事件应急处理</w:t>
      </w:r>
      <w:bookmarkEnd w:id="301"/>
      <w:bookmarkEnd w:id="302"/>
      <w:bookmarkEnd w:id="303"/>
      <w:bookmarkEnd w:id="304"/>
      <w:bookmarkEnd w:id="305"/>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在城市供水中</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可能遇到种种突发事件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包括城市水源或供水水质遭受污染、地震等自然灾害造成供水设备损毁、供水设施设备发生火灾、爆炸等严重事故；城市主要输配水管网发生重大事故、供水调度及自控系统遭受破坏、战争及恐怖活动破坏等。针对以上突发事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编制和完善城市供水系统应急预案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同时针对预案体系进行培训、演练和执行。</w:t>
      </w:r>
    </w:p>
    <w:p>
      <w:pPr>
        <w:pStyle w:val="4"/>
        <w:spacing w:before="0" w:after="0" w:line="560" w:lineRule="exact"/>
        <w:ind w:left="0" w:firstLine="640" w:firstLineChars="200"/>
        <w:rPr>
          <w:rFonts w:hint="default" w:ascii="Times New Roman" w:hAnsi="Times New Roman" w:cs="Times New Roman"/>
          <w:b/>
          <w:bCs/>
          <w:sz w:val="32"/>
          <w:szCs w:val="32"/>
        </w:rPr>
      </w:pPr>
      <w:bookmarkStart w:id="306" w:name="_Toc18422"/>
      <w:bookmarkStart w:id="307" w:name="_Toc59975833"/>
    </w:p>
    <w:p>
      <w:pPr>
        <w:pStyle w:val="4"/>
        <w:spacing w:before="0" w:after="0" w:line="560" w:lineRule="exact"/>
        <w:ind w:left="0" w:leftChars="0" w:firstLine="0" w:firstLineChars="0"/>
        <w:jc w:val="center"/>
        <w:rPr>
          <w:rFonts w:hint="default" w:ascii="Times New Roman" w:hAnsi="Times New Roman" w:eastAsia="方正小标宋_GBK" w:cs="Times New Roman"/>
          <w:b w:val="0"/>
          <w:bCs w:val="0"/>
          <w:sz w:val="44"/>
          <w:szCs w:val="44"/>
        </w:rPr>
      </w:pPr>
      <w:bookmarkStart w:id="308" w:name="_Toc29525"/>
      <w:r>
        <w:rPr>
          <w:rFonts w:hint="default" w:ascii="Times New Roman" w:hAnsi="Times New Roman" w:eastAsia="方正小标宋_GBK" w:cs="Times New Roman"/>
          <w:b w:val="0"/>
          <w:bCs w:val="0"/>
          <w:sz w:val="44"/>
          <w:szCs w:val="44"/>
        </w:rPr>
        <w:t>第九章 城市节水规划</w:t>
      </w:r>
      <w:bookmarkEnd w:id="306"/>
      <w:bookmarkEnd w:id="307"/>
      <w:bookmarkEnd w:id="308"/>
      <w:bookmarkStart w:id="309" w:name="_Toc867"/>
      <w:bookmarkStart w:id="310" w:name="_Toc59975834"/>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311" w:name="_Toc14351"/>
      <w:r>
        <w:rPr>
          <w:rFonts w:hint="default" w:ascii="Times New Roman" w:hAnsi="Times New Roman" w:eastAsia="方正黑体_GBK" w:cs="Times New Roman"/>
          <w:b w:val="0"/>
          <w:bCs/>
          <w:kern w:val="2"/>
          <w:sz w:val="32"/>
          <w:szCs w:val="32"/>
        </w:rPr>
        <w:t>一、节约用水措施</w:t>
      </w:r>
      <w:bookmarkEnd w:id="309"/>
      <w:bookmarkEnd w:id="310"/>
      <w:bookmarkEnd w:id="311"/>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（一）</w:t>
      </w:r>
      <w:r>
        <w:rPr>
          <w:rFonts w:hint="default" w:ascii="Times New Roman" w:hAnsi="Times New Roman" w:eastAsia="方正仿宋_GBK" w:cs="Times New Roman"/>
          <w:sz w:val="32"/>
          <w:szCs w:val="32"/>
        </w:rPr>
        <w:t>形成完整的给水系统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扩大供水范围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提高供水质量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w:t>
      </w:r>
      <w:r>
        <w:rPr>
          <w:rFonts w:hint="default" w:ascii="Times New Roman" w:hAnsi="Times New Roman" w:eastAsia="方正仿宋_GBK" w:cs="Times New Roman"/>
          <w:sz w:val="32"/>
          <w:szCs w:val="32"/>
          <w:lang w:eastAsia="zh-CN"/>
        </w:rPr>
        <w:t>保障</w:t>
      </w:r>
      <w:r>
        <w:rPr>
          <w:rFonts w:hint="default" w:ascii="Times New Roman" w:hAnsi="Times New Roman" w:eastAsia="方正仿宋_GBK" w:cs="Times New Roman"/>
          <w:sz w:val="32"/>
          <w:szCs w:val="32"/>
        </w:rPr>
        <w:t>供水</w:t>
      </w:r>
      <w:r>
        <w:rPr>
          <w:rFonts w:hint="default" w:ascii="Times New Roman" w:hAnsi="Times New Roman" w:eastAsia="方正仿宋_GBK" w:cs="Times New Roman"/>
          <w:sz w:val="32"/>
          <w:szCs w:val="32"/>
          <w:lang w:eastAsia="zh-CN"/>
        </w:rPr>
        <w:t>需求</w:t>
      </w:r>
      <w:r>
        <w:rPr>
          <w:rFonts w:hint="default" w:ascii="Times New Roman" w:hAnsi="Times New Roman" w:eastAsia="方正仿宋_GBK" w:cs="Times New Roman"/>
          <w:color w:val="auto"/>
          <w:sz w:val="32"/>
          <w:szCs w:val="32"/>
          <w:highlight w:val="none"/>
        </w:rPr>
        <w:t>的</w:t>
      </w:r>
      <w:r>
        <w:rPr>
          <w:rFonts w:hint="default" w:ascii="Times New Roman" w:hAnsi="Times New Roman" w:eastAsia="方正仿宋_GBK" w:cs="Times New Roman"/>
          <w:color w:val="auto"/>
          <w:sz w:val="32"/>
          <w:szCs w:val="32"/>
          <w:highlight w:val="none"/>
          <w:lang w:eastAsia="zh-CN"/>
        </w:rPr>
        <w:t>前提</w:t>
      </w:r>
      <w:r>
        <w:rPr>
          <w:rFonts w:hint="default" w:ascii="Times New Roman" w:hAnsi="Times New Roman" w:eastAsia="方正仿宋_GBK" w:cs="Times New Roman"/>
          <w:color w:val="auto"/>
          <w:sz w:val="32"/>
          <w:szCs w:val="32"/>
          <w:highlight w:val="none"/>
        </w:rPr>
        <w:t>下</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sz w:val="32"/>
          <w:szCs w:val="32"/>
        </w:rPr>
        <w:t>积极开展节约用水工作；</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（二）</w:t>
      </w:r>
      <w:r>
        <w:rPr>
          <w:rFonts w:hint="default" w:ascii="Times New Roman" w:hAnsi="Times New Roman" w:eastAsia="方正仿宋_GBK" w:cs="Times New Roman"/>
          <w:sz w:val="32"/>
          <w:szCs w:val="32"/>
        </w:rPr>
        <w:t>坚持“三同时、四到位”的原则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建设项目的主体工程与节水措施同时设计</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rPr>
        <w:t>同时施工</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rPr>
        <w:t>同时投入使用</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rPr>
        <w:t>取水单位必须做到用水计划到位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节水目标到位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节水措施到位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管理制度到位；</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（三）</w:t>
      </w:r>
      <w:r>
        <w:rPr>
          <w:rFonts w:hint="default" w:ascii="Times New Roman" w:hAnsi="Times New Roman" w:eastAsia="方正仿宋_GBK" w:cs="Times New Roman"/>
          <w:sz w:val="32"/>
          <w:szCs w:val="32"/>
        </w:rPr>
        <w:t>强化取水许可制度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建立建设项目水资源论证制度和用水、节水评估制度。</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（四）</w:t>
      </w:r>
      <w:r>
        <w:rPr>
          <w:rFonts w:hint="default" w:ascii="Times New Roman" w:hAnsi="Times New Roman" w:eastAsia="方正仿宋_GBK" w:cs="Times New Roman"/>
          <w:sz w:val="32"/>
          <w:szCs w:val="32"/>
        </w:rPr>
        <w:t>加大国家有关节水技术政策和技术标准的执行力度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制定并推行节约型用水器具的强制性标准；</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（五）</w:t>
      </w:r>
      <w:r>
        <w:rPr>
          <w:rFonts w:hint="default" w:ascii="Times New Roman" w:hAnsi="Times New Roman" w:eastAsia="方正仿宋_GBK" w:cs="Times New Roman"/>
          <w:sz w:val="32"/>
          <w:szCs w:val="32"/>
        </w:rPr>
        <w:t>加大城市供水管网改造力度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提高管网监测管理水平和手段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降低管道漏失率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其值控制在10%以内；</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（六）</w:t>
      </w:r>
      <w:r>
        <w:rPr>
          <w:rFonts w:hint="default" w:ascii="Times New Roman" w:hAnsi="Times New Roman" w:eastAsia="方正仿宋_GBK" w:cs="Times New Roman"/>
          <w:sz w:val="32"/>
          <w:szCs w:val="32"/>
        </w:rPr>
        <w:t>努力改造现有工业的工艺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提高工业用水重复率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对引</w:t>
      </w:r>
      <w:r>
        <w:rPr>
          <w:rFonts w:hint="default" w:ascii="Times New Roman" w:hAnsi="Times New Roman" w:eastAsia="方正仿宋_GBK" w:cs="Times New Roman"/>
          <w:sz w:val="32"/>
          <w:szCs w:val="32"/>
          <w:highlight w:val="none"/>
        </w:rPr>
        <w:t>入新工艺的工</w:t>
      </w:r>
      <w:r>
        <w:rPr>
          <w:rFonts w:hint="default" w:ascii="Times New Roman" w:hAnsi="Times New Roman" w:eastAsia="方正仿宋_GBK" w:cs="Times New Roman"/>
          <w:sz w:val="32"/>
          <w:szCs w:val="32"/>
        </w:rPr>
        <w:t>业用水重复率进行严格控制；</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（七）</w:t>
      </w:r>
      <w:r>
        <w:rPr>
          <w:rFonts w:hint="default" w:ascii="Times New Roman" w:hAnsi="Times New Roman" w:eastAsia="方正仿宋_GBK" w:cs="Times New Roman"/>
          <w:sz w:val="32"/>
          <w:szCs w:val="32"/>
        </w:rPr>
        <w:t>积极开展居民生活用水节水工作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采用节水型用水设备及卫生洁具；</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（八）</w:t>
      </w:r>
      <w:r>
        <w:rPr>
          <w:rFonts w:hint="default" w:ascii="Times New Roman" w:hAnsi="Times New Roman" w:eastAsia="方正仿宋_GBK" w:cs="Times New Roman"/>
          <w:sz w:val="32"/>
          <w:szCs w:val="32"/>
        </w:rPr>
        <w:t>应用价格规律推动节约用水工作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在条件允许的情况下逐渐提高水价。</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312" w:name="_Toc2800"/>
      <w:bookmarkStart w:id="313" w:name="_Toc59975835"/>
      <w:bookmarkStart w:id="314" w:name="_Toc28127"/>
      <w:r>
        <w:rPr>
          <w:rFonts w:hint="default" w:ascii="Times New Roman" w:hAnsi="Times New Roman" w:eastAsia="方正黑体_GBK" w:cs="Times New Roman"/>
          <w:b w:val="0"/>
          <w:bCs/>
          <w:kern w:val="2"/>
          <w:sz w:val="32"/>
          <w:szCs w:val="32"/>
        </w:rPr>
        <w:t>二、再生水利用规划</w:t>
      </w:r>
      <w:bookmarkEnd w:id="312"/>
      <w:bookmarkEnd w:id="313"/>
      <w:bookmarkEnd w:id="314"/>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从管理体制上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要加强立法工作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创建中水回用的法治环境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推动投资以及运营体制向多元化和企业化转变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要对中水明确定价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保证</w:t>
      </w:r>
      <w:r>
        <w:rPr>
          <w:rFonts w:hint="default" w:ascii="Times New Roman" w:hAnsi="Times New Roman" w:eastAsia="方正仿宋_GBK" w:cs="Times New Roman"/>
          <w:sz w:val="32"/>
          <w:szCs w:val="32"/>
          <w:highlight w:val="none"/>
        </w:rPr>
        <w:t>合理的投资</w:t>
      </w:r>
      <w:r>
        <w:rPr>
          <w:rFonts w:hint="default" w:ascii="Times New Roman" w:hAnsi="Times New Roman" w:eastAsia="方正仿宋_GBK" w:cs="Times New Roman"/>
          <w:sz w:val="32"/>
          <w:szCs w:val="32"/>
        </w:rPr>
        <w:t>回报和运营收益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建立中水交易制度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扩大中水的使用范围； </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从规划和设计上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要将中水回用纳入城市水资源综合规划</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要求新建中水工程必须与主体工程同时设计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要重视水量平衡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提高中水设施的利用率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要规范中水处理技术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推广高效、可靠、经济、适用工艺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防止中水处理站自身的二次污染问题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中水回用应考虑循序用水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优水</w:t>
      </w:r>
      <w:r>
        <w:rPr>
          <w:rFonts w:hint="default" w:ascii="Times New Roman" w:hAnsi="Times New Roman" w:eastAsia="方正仿宋_GBK" w:cs="Times New Roman"/>
          <w:sz w:val="32"/>
          <w:szCs w:val="32"/>
          <w:highlight w:val="none"/>
        </w:rPr>
        <w:t>优用</w:t>
      </w:r>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在运行监管上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要建立和完善对中水回用设施的运营监管政策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设立具有健全职能的监管机构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开展中水回用的风险评估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使中水水质标准更具科学性和可操作性；</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在公众参与上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要加大中水回用的宣传力度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提高公众认知和接受水平</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尊重公众知情权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消除公众使用顾虑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发展中介组织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做好社会监督。</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315" w:name="_Toc59975836"/>
      <w:bookmarkStart w:id="316" w:name="_Toc13796"/>
      <w:bookmarkStart w:id="317" w:name="_Toc4480"/>
      <w:r>
        <w:rPr>
          <w:rFonts w:hint="default" w:ascii="Times New Roman" w:hAnsi="Times New Roman" w:eastAsia="方正黑体_GBK" w:cs="Times New Roman"/>
          <w:b w:val="0"/>
          <w:bCs/>
          <w:kern w:val="2"/>
          <w:sz w:val="32"/>
          <w:szCs w:val="32"/>
        </w:rPr>
        <w:t>三、管网漏损控制</w:t>
      </w:r>
      <w:bookmarkEnd w:id="315"/>
      <w:bookmarkEnd w:id="316"/>
      <w:bookmarkEnd w:id="317"/>
    </w:p>
    <w:p>
      <w:pPr>
        <w:spacing w:line="560" w:lineRule="exact"/>
        <w:ind w:firstLine="640"/>
        <w:rPr>
          <w:rFonts w:hint="default" w:ascii="Times New Roman" w:hAnsi="Times New Roman" w:eastAsia="方正楷体_GBK" w:cs="Times New Roman"/>
          <w:sz w:val="32"/>
          <w:szCs w:val="32"/>
        </w:rPr>
      </w:pPr>
      <w:bookmarkStart w:id="318" w:name="_Toc59975837"/>
      <w:bookmarkStart w:id="319" w:name="_Toc1562"/>
      <w:r>
        <w:rPr>
          <w:rFonts w:hint="default" w:ascii="Times New Roman" w:hAnsi="Times New Roman" w:eastAsia="方正楷体_GBK" w:cs="Times New Roman"/>
          <w:sz w:val="32"/>
          <w:szCs w:val="32"/>
        </w:rPr>
        <w:t>（一）减少管网漏损</w:t>
      </w:r>
      <w:bookmarkEnd w:id="318"/>
      <w:bookmarkEnd w:id="319"/>
    </w:p>
    <w:p>
      <w:pPr>
        <w:spacing w:line="560" w:lineRule="exact"/>
        <w:ind w:firstLine="640"/>
        <w:rPr>
          <w:rFonts w:hint="default" w:ascii="Times New Roman" w:hAnsi="Times New Roman" w:eastAsia="方正仿宋_GBK" w:cs="Times New Roman"/>
          <w:sz w:val="32"/>
          <w:szCs w:val="32"/>
        </w:rPr>
      </w:pPr>
      <w:bookmarkStart w:id="320" w:name="_Toc20247109"/>
      <w:r>
        <w:rPr>
          <w:rFonts w:hint="default" w:ascii="Times New Roman" w:hAnsi="Times New Roman" w:eastAsia="方正仿宋_GBK" w:cs="Times New Roman"/>
          <w:sz w:val="32"/>
          <w:szCs w:val="32"/>
        </w:rPr>
        <w:t>1.改进出厂水计量设备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提高计量精度</w:t>
      </w:r>
      <w:bookmarkEnd w:id="320"/>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bookmarkStart w:id="321" w:name="_Toc20247110"/>
      <w:r>
        <w:rPr>
          <w:rFonts w:hint="default" w:ascii="Times New Roman" w:hAnsi="Times New Roman" w:eastAsia="方正仿宋_GBK" w:cs="Times New Roman"/>
          <w:sz w:val="32"/>
          <w:szCs w:val="32"/>
        </w:rPr>
        <w:t>2.加强水表管理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实行水表首检、</w:t>
      </w:r>
      <w:r>
        <w:rPr>
          <w:rFonts w:hint="default" w:ascii="Times New Roman" w:hAnsi="Times New Roman" w:eastAsia="方正仿宋_GBK" w:cs="Times New Roman"/>
          <w:sz w:val="32"/>
          <w:szCs w:val="32"/>
          <w:highlight w:val="none"/>
        </w:rPr>
        <w:t>强检</w:t>
      </w:r>
      <w:r>
        <w:rPr>
          <w:rFonts w:hint="default" w:ascii="Times New Roman" w:hAnsi="Times New Roman" w:eastAsia="方正仿宋_GBK" w:cs="Times New Roman"/>
          <w:sz w:val="32"/>
          <w:szCs w:val="32"/>
        </w:rPr>
        <w:t>及整表校验制度</w:t>
      </w:r>
      <w:bookmarkEnd w:id="321"/>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bookmarkStart w:id="322" w:name="_Toc20247111"/>
      <w:r>
        <w:rPr>
          <w:rFonts w:hint="default" w:ascii="Times New Roman" w:hAnsi="Times New Roman" w:eastAsia="方正仿宋_GBK" w:cs="Times New Roman"/>
          <w:sz w:val="32"/>
          <w:szCs w:val="32"/>
        </w:rPr>
        <w:t>3.完善公共用水管理制度、杜绝浪费、提倡节约</w:t>
      </w:r>
      <w:bookmarkEnd w:id="322"/>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bookmarkStart w:id="323" w:name="_Toc20247112"/>
      <w:r>
        <w:rPr>
          <w:rFonts w:hint="default" w:ascii="Times New Roman" w:hAnsi="Times New Roman" w:eastAsia="方正仿宋_GBK" w:cs="Times New Roman"/>
          <w:sz w:val="32"/>
          <w:szCs w:val="32"/>
        </w:rPr>
        <w:t>4.加强管道施工管理</w:t>
      </w:r>
      <w:bookmarkEnd w:id="323"/>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bookmarkStart w:id="324" w:name="_Toc20247113"/>
      <w:r>
        <w:rPr>
          <w:rFonts w:hint="default" w:ascii="Times New Roman" w:hAnsi="Times New Roman" w:eastAsia="方正仿宋_GBK" w:cs="Times New Roman"/>
          <w:sz w:val="32"/>
          <w:szCs w:val="32"/>
        </w:rPr>
        <w:t>5.建立勤查快修降水损制度</w:t>
      </w:r>
      <w:bookmarkEnd w:id="324"/>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bookmarkStart w:id="325" w:name="_Toc20247114"/>
      <w:r>
        <w:rPr>
          <w:rFonts w:hint="default" w:ascii="Times New Roman" w:hAnsi="Times New Roman" w:eastAsia="方正仿宋_GBK" w:cs="Times New Roman"/>
          <w:sz w:val="32"/>
          <w:szCs w:val="32"/>
        </w:rPr>
        <w:t>6.加大供水监察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杜绝违章用水</w:t>
      </w:r>
      <w:bookmarkEnd w:id="325"/>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楷体_GBK" w:cs="Times New Roman"/>
          <w:sz w:val="32"/>
          <w:szCs w:val="32"/>
        </w:rPr>
      </w:pPr>
      <w:bookmarkStart w:id="326" w:name="_Toc12189"/>
      <w:bookmarkStart w:id="327" w:name="_Toc59975838"/>
      <w:r>
        <w:rPr>
          <w:rFonts w:hint="default" w:ascii="Times New Roman" w:hAnsi="Times New Roman" w:eastAsia="方正楷体_GBK" w:cs="Times New Roman"/>
          <w:sz w:val="32"/>
          <w:szCs w:val="32"/>
        </w:rPr>
        <w:t>（二）提高管网供水效率</w:t>
      </w:r>
      <w:bookmarkEnd w:id="326"/>
      <w:bookmarkEnd w:id="327"/>
    </w:p>
    <w:p>
      <w:pPr>
        <w:spacing w:line="560" w:lineRule="exact"/>
        <w:ind w:firstLine="640"/>
        <w:rPr>
          <w:rFonts w:hint="default" w:ascii="Times New Roman" w:hAnsi="Times New Roman" w:eastAsia="方正仿宋_GBK" w:cs="Times New Roman"/>
          <w:sz w:val="32"/>
          <w:szCs w:val="32"/>
        </w:rPr>
      </w:pPr>
      <w:bookmarkStart w:id="328" w:name="_Toc59975839"/>
      <w:bookmarkStart w:id="329" w:name="_Toc60430090"/>
      <w:bookmarkStart w:id="330" w:name="_Toc31889"/>
      <w:r>
        <w:rPr>
          <w:rFonts w:hint="default" w:ascii="Times New Roman" w:hAnsi="Times New Roman" w:eastAsia="方正仿宋_GBK" w:cs="Times New Roman"/>
          <w:sz w:val="32"/>
          <w:szCs w:val="32"/>
        </w:rPr>
        <w:t>1.明漏要及时修</w:t>
      </w:r>
      <w:bookmarkEnd w:id="328"/>
      <w:bookmarkEnd w:id="329"/>
      <w:bookmarkEnd w:id="330"/>
      <w:r>
        <w:rPr>
          <w:rFonts w:hint="default" w:ascii="Times New Roman" w:hAnsi="Times New Roman" w:eastAsia="方正仿宋_GBK" w:cs="Times New Roman"/>
          <w:sz w:val="32"/>
          <w:szCs w:val="32"/>
        </w:rPr>
        <w:t>。</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2.水表管理。</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3.分区计量。</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4.加强检漏工作。</w:t>
      </w:r>
    </w:p>
    <w:p>
      <w:pPr>
        <w:ind w:left="0" w:leftChars="0" w:firstLine="0" w:firstLineChars="0"/>
        <w:rPr>
          <w:rFonts w:hint="default" w:ascii="Times New Roman" w:hAnsi="Times New Roman" w:cs="Times New Roman"/>
        </w:rPr>
      </w:pPr>
      <w:bookmarkStart w:id="331" w:name="_Toc19221"/>
      <w:bookmarkStart w:id="332" w:name="_Toc59975841"/>
    </w:p>
    <w:p>
      <w:pPr>
        <w:pStyle w:val="4"/>
        <w:spacing w:before="0" w:after="0" w:line="560" w:lineRule="exact"/>
        <w:ind w:left="0" w:firstLine="880" w:firstLineChars="200"/>
        <w:rPr>
          <w:rFonts w:hint="default" w:ascii="Times New Roman" w:hAnsi="Times New Roman" w:eastAsia="方正黑体_GBK" w:cs="Times New Roman"/>
          <w:b w:val="0"/>
          <w:bCs/>
          <w:kern w:val="2"/>
          <w:sz w:val="32"/>
          <w:szCs w:val="32"/>
        </w:rPr>
      </w:pPr>
      <w:bookmarkStart w:id="333" w:name="_Toc296"/>
      <w:r>
        <w:rPr>
          <w:rFonts w:hint="default" w:ascii="Times New Roman" w:hAnsi="Times New Roman" w:eastAsia="方正小标宋_GBK" w:cs="Times New Roman"/>
          <w:b w:val="0"/>
          <w:bCs w:val="0"/>
          <w:sz w:val="44"/>
          <w:szCs w:val="44"/>
        </w:rPr>
        <w:t>第十章 智慧水务规划</w:t>
      </w:r>
      <w:bookmarkEnd w:id="331"/>
      <w:bookmarkEnd w:id="332"/>
      <w:bookmarkEnd w:id="333"/>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334" w:name="_Toc22099"/>
      <w:r>
        <w:rPr>
          <w:rFonts w:hint="default" w:ascii="Times New Roman" w:hAnsi="Times New Roman" w:eastAsia="方正黑体_GBK" w:cs="Times New Roman"/>
          <w:b w:val="0"/>
          <w:bCs/>
          <w:kern w:val="2"/>
          <w:sz w:val="32"/>
          <w:szCs w:val="32"/>
        </w:rPr>
        <w:t>一、智慧水务主要建设内容</w:t>
      </w:r>
      <w:bookmarkEnd w:id="334"/>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主要包含智慧水务平台建设（业务应用系统、支撑平台、信息系统集成等三部分）。</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业务应用系统：包括SCADA生产调度系统、管网GIS系统、巡检管理系统、分区计量与漏损管控系统、视频监控系统、水务大数据系统、企业门户和服务热线系统。</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支撑平台：包括操作系统、数据库、GIS平台、组态软件以及工业数据库软件。</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信息系统集成：完成各类应用系统整合、数据集成、软硬件集成工作。</w:t>
      </w:r>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335" w:name="_Toc3872"/>
      <w:r>
        <w:rPr>
          <w:rFonts w:hint="default" w:ascii="Times New Roman" w:hAnsi="Times New Roman" w:eastAsia="方正黑体_GBK" w:cs="Times New Roman"/>
          <w:b w:val="0"/>
          <w:bCs/>
          <w:kern w:val="2"/>
          <w:sz w:val="32"/>
          <w:szCs w:val="32"/>
        </w:rPr>
        <w:t>二、智慧水务建设时序安排</w:t>
      </w:r>
      <w:bookmarkEnd w:id="335"/>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供水智慧水务建设是一个长期的过程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应分期逐步进行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规划内容：</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eastAsia="zh-CN"/>
        </w:rPr>
        <w:t>（一）</w:t>
      </w:r>
      <w:r>
        <w:rPr>
          <w:rFonts w:hint="default" w:ascii="Times New Roman" w:hAnsi="Times New Roman" w:eastAsia="方正楷体_GBK" w:cs="Times New Roman"/>
          <w:sz w:val="32"/>
          <w:szCs w:val="32"/>
        </w:rPr>
        <w:t>增设城市供水SCADA监控系统管网测控站。</w:t>
      </w:r>
      <w:r>
        <w:rPr>
          <w:rFonts w:hint="default" w:ascii="Times New Roman" w:hAnsi="Times New Roman" w:eastAsia="方正仿宋_GBK" w:cs="Times New Roman"/>
          <w:sz w:val="32"/>
          <w:szCs w:val="32"/>
        </w:rPr>
        <w:t>持续完善和改进城市供水SCADA监控系统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近期在老城、正阳、冯家、舟白片区新增管网测控站约40个。项目预估资金约300万元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建设时序2021-2025年。</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eastAsia="zh-CN"/>
        </w:rPr>
        <w:t>（二）</w:t>
      </w:r>
      <w:r>
        <w:rPr>
          <w:rFonts w:hint="default" w:ascii="Times New Roman" w:hAnsi="Times New Roman" w:eastAsia="方正楷体_GBK" w:cs="Times New Roman"/>
          <w:sz w:val="32"/>
          <w:szCs w:val="32"/>
        </w:rPr>
        <w:t>建立住宅二次供水管理系统。</w:t>
      </w:r>
      <w:r>
        <w:rPr>
          <w:rFonts w:hint="default" w:ascii="Times New Roman" w:hAnsi="Times New Roman" w:eastAsia="方正仿宋_GBK" w:cs="Times New Roman"/>
          <w:sz w:val="32"/>
          <w:szCs w:val="32"/>
        </w:rPr>
        <w:t>逐步建立智慧二次供水示范单元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住宅二次供水管理将集成智慧安防系统、智联供水设</w:t>
      </w:r>
      <w:r>
        <w:rPr>
          <w:rFonts w:hint="default" w:ascii="Times New Roman" w:hAnsi="Times New Roman" w:eastAsia="方正仿宋_GBK" w:cs="Times New Roman"/>
          <w:sz w:val="32"/>
          <w:szCs w:val="32"/>
          <w:highlight w:val="none"/>
        </w:rPr>
        <w:t>备</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智慧管理平台</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维护</w:t>
      </w:r>
      <w:r>
        <w:rPr>
          <w:rFonts w:hint="default" w:ascii="Times New Roman" w:hAnsi="Times New Roman" w:eastAsia="方正仿宋_GBK" w:cs="Times New Roman"/>
          <w:sz w:val="32"/>
          <w:szCs w:val="32"/>
        </w:rPr>
        <w:t>管理等系统</w:t>
      </w:r>
      <w:r>
        <w:rPr>
          <w:rFonts w:hint="default" w:ascii="Times New Roman" w:hAnsi="Times New Roman" w:eastAsia="方正仿宋_GBK" w:cs="Times New Roman"/>
          <w:sz w:val="32"/>
          <w:szCs w:val="32"/>
          <w:lang w:eastAsia="zh-CN"/>
        </w:rPr>
        <w:t>管</w:t>
      </w:r>
      <w:r>
        <w:rPr>
          <w:rFonts w:hint="default" w:ascii="Times New Roman" w:hAnsi="Times New Roman" w:eastAsia="方正仿宋_GBK" w:cs="Times New Roman"/>
          <w:sz w:val="32"/>
          <w:szCs w:val="32"/>
        </w:rPr>
        <w:t>理平台。项目预估资金约500万元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建设时序2021-2025年。</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eastAsia="zh-CN"/>
        </w:rPr>
        <w:t>（三）</w:t>
      </w:r>
      <w:r>
        <w:rPr>
          <w:rFonts w:hint="default" w:ascii="Times New Roman" w:hAnsi="Times New Roman" w:eastAsia="方正楷体_GBK" w:cs="Times New Roman"/>
          <w:sz w:val="32"/>
          <w:szCs w:val="32"/>
        </w:rPr>
        <w:t>建立表务管理系统平台。</w:t>
      </w:r>
      <w:r>
        <w:rPr>
          <w:rFonts w:hint="default" w:ascii="Times New Roman" w:hAnsi="Times New Roman" w:eastAsia="方正仿宋_GBK" w:cs="Times New Roman"/>
          <w:sz w:val="32"/>
          <w:szCs w:val="32"/>
        </w:rPr>
        <w:t>项目预估资金约30万元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建设时序2021年。</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eastAsia="zh-CN"/>
        </w:rPr>
        <w:t>（四）</w:t>
      </w:r>
      <w:r>
        <w:rPr>
          <w:rFonts w:hint="default" w:ascii="Times New Roman" w:hAnsi="Times New Roman" w:eastAsia="方正楷体_GBK" w:cs="Times New Roman"/>
          <w:sz w:val="32"/>
          <w:szCs w:val="32"/>
        </w:rPr>
        <w:t>建设GIS系统</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建立供水系统档案。</w:t>
      </w:r>
      <w:r>
        <w:rPr>
          <w:rFonts w:hint="default" w:ascii="Times New Roman" w:hAnsi="Times New Roman" w:eastAsia="方正仿宋_GBK" w:cs="Times New Roman"/>
          <w:sz w:val="32"/>
          <w:szCs w:val="32"/>
        </w:rPr>
        <w:t>项目预估资金约200万元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建设时序2022年。</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eastAsia="zh-CN"/>
        </w:rPr>
        <w:t>（五）</w:t>
      </w:r>
      <w:r>
        <w:rPr>
          <w:rFonts w:hint="default" w:ascii="Times New Roman" w:hAnsi="Times New Roman" w:eastAsia="方正楷体_GBK" w:cs="Times New Roman"/>
          <w:sz w:val="32"/>
          <w:szCs w:val="32"/>
        </w:rPr>
        <w:t>建立供水系统水力与水质模型</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提供信息化应用基础。</w:t>
      </w:r>
      <w:r>
        <w:rPr>
          <w:rFonts w:hint="default" w:ascii="Times New Roman" w:hAnsi="Times New Roman" w:eastAsia="方正仿宋_GBK" w:cs="Times New Roman"/>
          <w:sz w:val="32"/>
          <w:szCs w:val="32"/>
        </w:rPr>
        <w:t>项目预估资金约200万元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建设时序2022年。</w:t>
      </w:r>
    </w:p>
    <w:p>
      <w:pPr>
        <w:spacing w:line="560" w:lineRule="exact"/>
        <w:ind w:firstLine="0" w:firstLineChars="0"/>
        <w:jc w:val="center"/>
        <w:rPr>
          <w:rFonts w:hint="default" w:ascii="Times New Roman" w:hAnsi="Times New Roman" w:eastAsia="方正仿宋_GBK" w:cs="Times New Roman"/>
          <w:b/>
          <w:spacing w:val="-6"/>
          <w:sz w:val="32"/>
          <w:szCs w:val="32"/>
        </w:rPr>
      </w:pPr>
      <w:r>
        <w:rPr>
          <w:rFonts w:hint="default" w:ascii="Times New Roman" w:hAnsi="Times New Roman" w:eastAsia="方正仿宋_GBK" w:cs="Times New Roman"/>
          <w:b/>
          <w:spacing w:val="-6"/>
          <w:sz w:val="32"/>
          <w:szCs w:val="32"/>
        </w:rPr>
        <w:t>表10-1 智慧水务建设时序安排表</w:t>
      </w:r>
    </w:p>
    <w:tbl>
      <w:tblPr>
        <w:tblStyle w:val="12"/>
        <w:tblpPr w:leftFromText="180" w:rightFromText="180" w:vertAnchor="text" w:horzAnchor="margin" w:tblpY="24"/>
        <w:tblOverlap w:val="never"/>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2185"/>
        <w:gridCol w:w="1915"/>
        <w:gridCol w:w="1550"/>
        <w:gridCol w:w="1200"/>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bookmarkStart w:id="336" w:name="_Toc30050"/>
            <w:bookmarkStart w:id="337" w:name="_Toc59975846"/>
            <w:r>
              <w:rPr>
                <w:rFonts w:hint="default" w:ascii="Times New Roman" w:hAnsi="Times New Roman" w:eastAsia="方正仿宋_GBK" w:cs="Times New Roman"/>
                <w:szCs w:val="28"/>
              </w:rPr>
              <w:t>编号</w:t>
            </w:r>
          </w:p>
        </w:tc>
        <w:tc>
          <w:tcPr>
            <w:tcW w:w="218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名称</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建设内容</w:t>
            </w:r>
          </w:p>
        </w:tc>
        <w:tc>
          <w:tcPr>
            <w:tcW w:w="15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lang w:eastAsia="zh-CN"/>
              </w:rPr>
            </w:pPr>
            <w:r>
              <w:rPr>
                <w:rFonts w:hint="default" w:ascii="Times New Roman" w:hAnsi="Times New Roman" w:cs="Times New Roman"/>
              </w:rPr>
              <w:t>建设时序</w:t>
            </w:r>
            <w:r>
              <w:rPr>
                <w:rFonts w:hint="default" w:ascii="Times New Roman" w:hAnsi="Times New Roman" w:eastAsia="方正仿宋_GBK" w:cs="Times New Roman"/>
                <w:szCs w:val="28"/>
                <w:lang w:eastAsia="zh-CN"/>
              </w:rPr>
              <w:t>（年）</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投资</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（万元）</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w:t>
            </w:r>
          </w:p>
        </w:tc>
        <w:tc>
          <w:tcPr>
            <w:tcW w:w="218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SCADA调度系统管网测控站</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新增管网测控站约40个</w:t>
            </w:r>
          </w:p>
        </w:tc>
        <w:tc>
          <w:tcPr>
            <w:tcW w:w="15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300</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逐步完善城市供水前端设备建设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w:t>
            </w:r>
          </w:p>
        </w:tc>
        <w:tc>
          <w:tcPr>
            <w:tcW w:w="218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住宅二次供水管理系统</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“十四五”逐步实现住宅二次供水管理智慧化</w:t>
            </w:r>
          </w:p>
        </w:tc>
        <w:tc>
          <w:tcPr>
            <w:tcW w:w="15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2021-2025</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500</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逐步完善城市供水前端设备建设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8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4</w:t>
            </w:r>
          </w:p>
        </w:tc>
        <w:tc>
          <w:tcPr>
            <w:tcW w:w="218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表</w:t>
            </w:r>
            <w:r>
              <w:rPr>
                <w:rFonts w:hint="default" w:ascii="Times New Roman" w:hAnsi="Times New Roman" w:eastAsia="方正仿宋_GBK" w:cs="Times New Roman"/>
                <w:szCs w:val="28"/>
                <w:highlight w:val="none"/>
              </w:rPr>
              <w:t>务系统</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5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2021</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30</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5</w:t>
            </w:r>
          </w:p>
        </w:tc>
        <w:tc>
          <w:tcPr>
            <w:tcW w:w="218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建设GIS系统</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5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200</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6</w:t>
            </w:r>
          </w:p>
        </w:tc>
        <w:tc>
          <w:tcPr>
            <w:tcW w:w="218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建立供水系统水力与水质模型</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p>
        </w:tc>
        <w:tc>
          <w:tcPr>
            <w:tcW w:w="15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2022</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200</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合计</w:t>
            </w:r>
          </w:p>
        </w:tc>
        <w:tc>
          <w:tcPr>
            <w:tcW w:w="218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15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1230</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Cs w:val="28"/>
              </w:rPr>
            </w:pPr>
          </w:p>
        </w:tc>
      </w:tr>
    </w:tbl>
    <w:p>
      <w:pPr>
        <w:ind w:left="0" w:leftChars="0" w:firstLine="0" w:firstLineChars="0"/>
        <w:rPr>
          <w:rFonts w:hint="default" w:ascii="Times New Roman" w:hAnsi="Times New Roman" w:cs="Times New Roman"/>
        </w:rPr>
      </w:pPr>
    </w:p>
    <w:p>
      <w:pPr>
        <w:pStyle w:val="4"/>
        <w:spacing w:before="0" w:after="0" w:line="560" w:lineRule="exact"/>
        <w:ind w:left="0" w:firstLine="880" w:firstLineChars="200"/>
        <w:rPr>
          <w:rFonts w:hint="default" w:ascii="Times New Roman" w:hAnsi="Times New Roman" w:eastAsia="方正黑体_GBK" w:cs="Times New Roman"/>
          <w:b w:val="0"/>
          <w:bCs/>
          <w:kern w:val="2"/>
          <w:sz w:val="32"/>
          <w:szCs w:val="32"/>
        </w:rPr>
      </w:pPr>
      <w:bookmarkStart w:id="338" w:name="_Toc25661"/>
      <w:r>
        <w:rPr>
          <w:rFonts w:hint="default" w:ascii="Times New Roman" w:hAnsi="Times New Roman" w:eastAsia="方正小标宋_GBK" w:cs="Times New Roman"/>
          <w:b w:val="0"/>
          <w:bCs w:val="0"/>
          <w:sz w:val="44"/>
          <w:szCs w:val="44"/>
        </w:rPr>
        <w:t>第十一章 供水管理及服务</w:t>
      </w:r>
      <w:bookmarkEnd w:id="336"/>
      <w:bookmarkEnd w:id="337"/>
      <w:bookmarkEnd w:id="338"/>
      <w:bookmarkStart w:id="339" w:name="_Toc19466"/>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340" w:name="_Toc11535"/>
      <w:r>
        <w:rPr>
          <w:rFonts w:hint="default" w:ascii="Times New Roman" w:hAnsi="Times New Roman" w:eastAsia="方正黑体_GBK" w:cs="Times New Roman"/>
          <w:b w:val="0"/>
          <w:bCs/>
          <w:kern w:val="2"/>
          <w:sz w:val="32"/>
          <w:szCs w:val="32"/>
        </w:rPr>
        <w:t>一、城市供水管理制度</w:t>
      </w:r>
      <w:bookmarkEnd w:id="339"/>
      <w:bookmarkEnd w:id="340"/>
    </w:p>
    <w:p>
      <w:pPr>
        <w:spacing w:line="560" w:lineRule="exact"/>
        <w:ind w:firstLine="640"/>
        <w:rPr>
          <w:rFonts w:hint="default" w:ascii="Times New Roman" w:hAnsi="Times New Roman" w:eastAsia="方正楷体_GBK" w:cs="Times New Roman"/>
          <w:sz w:val="32"/>
          <w:szCs w:val="32"/>
        </w:rPr>
      </w:pPr>
      <w:bookmarkStart w:id="341" w:name="_Toc60430100"/>
      <w:bookmarkStart w:id="342" w:name="_Toc74735008"/>
      <w:bookmarkStart w:id="343" w:name="_Toc30886"/>
      <w:r>
        <w:rPr>
          <w:rFonts w:hint="default" w:ascii="Times New Roman" w:hAnsi="Times New Roman" w:eastAsia="方正楷体_GBK" w:cs="Times New Roman"/>
          <w:sz w:val="32"/>
          <w:szCs w:val="32"/>
        </w:rPr>
        <w:t>（一）安全教育培训制度</w:t>
      </w:r>
      <w:bookmarkEnd w:id="341"/>
      <w:bookmarkEnd w:id="342"/>
      <w:bookmarkEnd w:id="343"/>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1.学习贯彻国家的安全方针、政策、法律、法规和行业标准、规范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学习安全生产的各项规章制度。</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2.学习安全生产知识、安全操作规程和技能。</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3.学习安全管理知识和现代管理方法。</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4.学习安全生产和安全管理方面的新技术、新方法、新经验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并在实践中运用推广。</w:t>
      </w:r>
    </w:p>
    <w:p>
      <w:pPr>
        <w:spacing w:line="560" w:lineRule="exact"/>
        <w:ind w:firstLine="64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（二）供水运营服务</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1.成立黔江水厂自来水水质投诉处理领导小组。</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2.利用重庆市渝东南中心实验室平台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建立水质投诉受理、处理、反馈信息平台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使水质投诉处理更快捷、直观。</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3.加强水质投诉登记建档、归档、存档工作。</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4.配备专用水质检测车和便携式水质检测设备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确保受理承包人在第一时间赶往现场检查处理。</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5.做好“联优服务”工作。通过各种宣传媒体和供水企业营业场所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大力宣传用水知识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发放用水知识手册等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普及用水常识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使用户能正确认识自来水和正确使用自来水。</w:t>
      </w:r>
    </w:p>
    <w:p>
      <w:pPr>
        <w:spacing w:line="560" w:lineRule="exact"/>
        <w:ind w:firstLine="640"/>
        <w:rPr>
          <w:rFonts w:hint="default" w:ascii="Times New Roman" w:hAnsi="Times New Roman" w:eastAsia="方正仿宋_GBK" w:cs="Times New Roman"/>
          <w:sz w:val="32"/>
          <w:szCs w:val="32"/>
        </w:rPr>
      </w:pPr>
      <w:bookmarkStart w:id="344" w:name="_Toc74735012"/>
      <w:bookmarkStart w:id="345" w:name="_Toc60430104"/>
      <w:bookmarkStart w:id="346" w:name="_Toc20462"/>
      <w:r>
        <w:rPr>
          <w:rFonts w:hint="default" w:ascii="Times New Roman" w:hAnsi="Times New Roman" w:eastAsia="方正仿宋_GBK" w:cs="Times New Roman"/>
          <w:sz w:val="32"/>
          <w:szCs w:val="32"/>
        </w:rPr>
        <w:t>6.自来水水质投诉处理管理规范化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制定水质投诉处理记录专用表。</w:t>
      </w:r>
      <w:bookmarkEnd w:id="344"/>
      <w:bookmarkEnd w:id="345"/>
      <w:bookmarkEnd w:id="346"/>
      <w:bookmarkStart w:id="347" w:name="_Toc16029"/>
    </w:p>
    <w:p>
      <w:pPr>
        <w:spacing w:line="560" w:lineRule="exact"/>
        <w:ind w:firstLine="640"/>
        <w:rPr>
          <w:rFonts w:hint="default" w:ascii="Times New Roman" w:hAnsi="Times New Roman" w:eastAsia="方正黑体_GBK" w:cs="Times New Roman"/>
          <w:b w:val="0"/>
          <w:bCs/>
          <w:kern w:val="2"/>
          <w:sz w:val="32"/>
          <w:szCs w:val="32"/>
        </w:rPr>
      </w:pPr>
      <w:r>
        <w:rPr>
          <w:rFonts w:hint="default" w:ascii="Times New Roman" w:hAnsi="Times New Roman" w:eastAsia="方正黑体_GBK" w:cs="Times New Roman"/>
          <w:b w:val="0"/>
          <w:bCs/>
          <w:kern w:val="2"/>
          <w:sz w:val="32"/>
          <w:szCs w:val="32"/>
        </w:rPr>
        <w:t>二、水质监管</w:t>
      </w:r>
      <w:bookmarkEnd w:id="347"/>
    </w:p>
    <w:p>
      <w:pPr>
        <w:spacing w:line="560" w:lineRule="exact"/>
        <w:ind w:firstLine="640"/>
        <w:rPr>
          <w:rFonts w:hint="default" w:ascii="Times New Roman" w:hAnsi="Times New Roman" w:eastAsia="方正仿宋_GBK" w:cs="Times New Roman"/>
          <w:sz w:val="32"/>
          <w:szCs w:val="32"/>
        </w:rPr>
      </w:pPr>
      <w:bookmarkStart w:id="348" w:name="_Toc74735014"/>
      <w:r>
        <w:rPr>
          <w:rFonts w:hint="default" w:ascii="Times New Roman" w:hAnsi="Times New Roman" w:eastAsia="方正仿宋_GBK" w:cs="Times New Roman"/>
          <w:sz w:val="32"/>
          <w:szCs w:val="32"/>
        </w:rPr>
        <w:t>组织定期水质抽检。每年组织对城区供水水质进行抽检（包括原水、出厂水、管网水）；供水主管部门按照全覆盖“应检必检”要求对辖区城市供水水厂实施定期水质监督检测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按照《城市供水水质标准》（CJ/T206-2005）的要求对辖区出厂水42项指标、管网水7项指标每月检测不少于一次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对水厂出厂水106项指标每年检测不少于一次。供水主管部门对辖区二次供水采用抽样监督检测（包括水箱式和无负压式）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二次供水8项指标每半年抽样检测一次。</w:t>
      </w:r>
      <w:bookmarkEnd w:id="348"/>
    </w:p>
    <w:p>
      <w:pPr>
        <w:spacing w:line="560" w:lineRule="exact"/>
        <w:ind w:firstLine="640"/>
        <w:rPr>
          <w:rFonts w:hint="default" w:ascii="Times New Roman" w:hAnsi="Times New Roman" w:eastAsia="方正仿宋_GBK" w:cs="Times New Roman"/>
          <w:sz w:val="32"/>
          <w:szCs w:val="32"/>
        </w:rPr>
      </w:pPr>
      <w:bookmarkStart w:id="349" w:name="_Toc74735015"/>
      <w:r>
        <w:rPr>
          <w:rFonts w:hint="default" w:ascii="Times New Roman" w:hAnsi="Times New Roman" w:eastAsia="方正仿宋_GBK" w:cs="Times New Roman"/>
          <w:sz w:val="32"/>
          <w:szCs w:val="32"/>
        </w:rPr>
        <w:t>定期上报水质检测数据。城市供水主管部门编制城市供水水质检测报告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整理分析水质检测数据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建立健全辖区水质监测台账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并将成果每月25号前报市供节水事务中心。</w:t>
      </w:r>
      <w:bookmarkEnd w:id="349"/>
    </w:p>
    <w:p>
      <w:pPr>
        <w:pStyle w:val="3"/>
        <w:widowControl w:val="0"/>
        <w:spacing w:before="0" w:after="0" w:line="560" w:lineRule="exact"/>
        <w:ind w:left="0" w:firstLine="640" w:firstLineChars="200"/>
        <w:jc w:val="both"/>
        <w:rPr>
          <w:rFonts w:hint="default" w:ascii="Times New Roman" w:hAnsi="Times New Roman" w:eastAsia="方正黑体_GBK" w:cs="Times New Roman"/>
          <w:b w:val="0"/>
          <w:bCs/>
          <w:kern w:val="2"/>
          <w:sz w:val="32"/>
          <w:szCs w:val="32"/>
        </w:rPr>
      </w:pPr>
      <w:bookmarkStart w:id="350" w:name="_Toc26121"/>
      <w:bookmarkStart w:id="351" w:name="_Toc28588"/>
      <w:r>
        <w:rPr>
          <w:rFonts w:hint="default" w:ascii="Times New Roman" w:hAnsi="Times New Roman" w:eastAsia="方正黑体_GBK" w:cs="Times New Roman"/>
          <w:b w:val="0"/>
          <w:bCs/>
          <w:kern w:val="2"/>
          <w:sz w:val="32"/>
          <w:szCs w:val="32"/>
        </w:rPr>
        <w:t>三、城市供水运营服务和应急维修抢修</w:t>
      </w:r>
      <w:bookmarkEnd w:id="350"/>
      <w:bookmarkEnd w:id="351"/>
    </w:p>
    <w:p>
      <w:pPr>
        <w:spacing w:line="560" w:lineRule="exact"/>
        <w:ind w:firstLine="640"/>
        <w:rPr>
          <w:rFonts w:hint="default" w:ascii="Times New Roman" w:hAnsi="Times New Roman" w:eastAsia="方正仿宋_GBK" w:cs="Times New Roman"/>
          <w:sz w:val="32"/>
          <w:szCs w:val="32"/>
        </w:rPr>
      </w:pPr>
      <w:bookmarkStart w:id="352" w:name="_Toc12442"/>
      <w:bookmarkStart w:id="353" w:name="_Toc74735017"/>
      <w:bookmarkStart w:id="354" w:name="_Toc60430107"/>
      <w:r>
        <w:rPr>
          <w:rFonts w:hint="default" w:ascii="Times New Roman" w:hAnsi="Times New Roman" w:eastAsia="方正仿宋_GBK" w:cs="Times New Roman"/>
          <w:sz w:val="32"/>
          <w:szCs w:val="32"/>
        </w:rPr>
        <w:t>设置有24小时抢修电话</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接到漏报后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城区30分钟、城郊60分钟到达现场做止水处理。无特殊情况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小漏为当天修复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大漏连续抢修至修复。为方便群众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营业厅开通微信公众平台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用水户除了采用现金、转账方式缴费外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还可以在微信公众平台上通过手机缴纳水费。</w:t>
      </w:r>
      <w:bookmarkEnd w:id="352"/>
      <w:bookmarkEnd w:id="353"/>
      <w:bookmarkEnd w:id="354"/>
    </w:p>
    <w:p>
      <w:pPr>
        <w:ind w:left="0" w:leftChars="0" w:firstLine="0" w:firstLineChars="0"/>
        <w:rPr>
          <w:rFonts w:hint="default" w:ascii="Times New Roman" w:hAnsi="Times New Roman" w:cs="Times New Roman"/>
        </w:rPr>
      </w:pPr>
      <w:bookmarkStart w:id="355" w:name="_Toc20268"/>
      <w:bookmarkStart w:id="356" w:name="_Toc59975850"/>
    </w:p>
    <w:p>
      <w:pPr>
        <w:pStyle w:val="4"/>
        <w:spacing w:before="0" w:after="0" w:line="560" w:lineRule="exact"/>
        <w:ind w:left="0" w:firstLine="880" w:firstLineChars="200"/>
        <w:rPr>
          <w:rFonts w:hint="default" w:ascii="Times New Roman" w:hAnsi="Times New Roman" w:eastAsia="方正仿宋_GBK" w:cs="Times New Roman"/>
          <w:sz w:val="32"/>
          <w:szCs w:val="32"/>
        </w:rPr>
      </w:pPr>
      <w:bookmarkStart w:id="357" w:name="_Toc31993"/>
      <w:r>
        <w:rPr>
          <w:rFonts w:hint="default" w:ascii="Times New Roman" w:hAnsi="Times New Roman" w:eastAsia="方正小标宋_GBK" w:cs="Times New Roman"/>
          <w:b w:val="0"/>
          <w:bCs w:val="0"/>
          <w:sz w:val="44"/>
          <w:szCs w:val="44"/>
        </w:rPr>
        <w:t>第十二章 重点项目建设与投资估算</w:t>
      </w:r>
      <w:bookmarkEnd w:id="355"/>
      <w:bookmarkEnd w:id="356"/>
      <w:bookmarkEnd w:id="357"/>
      <w:bookmarkStart w:id="358" w:name="_Toc74735019"/>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对黔江区城市供水“十四五”专项规划项目进行汇总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并对工程量和投资估算进行统计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具体项目规划及投资估算详见附表1。</w:t>
      </w:r>
      <w:bookmarkEnd w:id="358"/>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附表：1﹒黔江区城市供水“十四五”专项规划项目清单</w:t>
      </w:r>
    </w:p>
    <w:p>
      <w:pPr>
        <w:tabs>
          <w:tab w:val="left" w:pos="851"/>
        </w:tabs>
        <w:snapToGrid w:val="0"/>
        <w:spacing w:line="560" w:lineRule="exact"/>
        <w:ind w:left="0" w:leftChars="0" w:firstLine="0" w:firstLineChars="0"/>
        <w:outlineLvl w:val="2"/>
        <w:rPr>
          <w:rFonts w:hint="default" w:ascii="Times New Roman" w:hAnsi="Times New Roman" w:eastAsia="方正仿宋_GBK" w:cs="Times New Roman"/>
          <w:sz w:val="32"/>
          <w:szCs w:val="32"/>
        </w:rPr>
        <w:sectPr>
          <w:footerReference r:id="rId8" w:type="default"/>
          <w:pgSz w:w="11907" w:h="16839"/>
          <w:pgMar w:top="2098" w:right="1474" w:bottom="1984" w:left="1588" w:header="510" w:footer="1020" w:gutter="0"/>
          <w:pgNumType w:fmt="decimal"/>
          <w:cols w:space="0" w:num="1"/>
          <w:rtlGutter w:val="0"/>
          <w:docGrid w:type="linesAndChars" w:linePitch="381" w:charSpace="0"/>
        </w:sectPr>
      </w:pPr>
    </w:p>
    <w:p>
      <w:pPr>
        <w:spacing w:line="560" w:lineRule="exact"/>
        <w:ind w:firstLine="0" w:firstLineChars="0"/>
        <w:rPr>
          <w:rFonts w:hint="default" w:ascii="Times New Roman" w:hAnsi="Times New Roman" w:eastAsia="方正黑体_GBK" w:cs="Times New Roman"/>
          <w:kern w:val="0"/>
          <w:szCs w:val="28"/>
        </w:rPr>
      </w:pPr>
      <w:r>
        <w:rPr>
          <w:rFonts w:hint="default" w:ascii="Times New Roman" w:hAnsi="Times New Roman" w:eastAsia="方正黑体_GBK" w:cs="Times New Roman"/>
          <w:kern w:val="0"/>
          <w:szCs w:val="28"/>
        </w:rPr>
        <w:t>附表1</w:t>
      </w:r>
    </w:p>
    <w:p>
      <w:pPr>
        <w:snapToGrid w:val="0"/>
        <w:spacing w:line="560" w:lineRule="exact"/>
        <w:ind w:firstLine="0" w:firstLineChars="0"/>
        <w:jc w:val="center"/>
        <w:rPr>
          <w:rFonts w:hint="default" w:ascii="Times New Roman" w:hAnsi="Times New Roman" w:eastAsia="方正黑体_GBK" w:cs="Times New Roman"/>
          <w:szCs w:val="28"/>
        </w:rPr>
      </w:pPr>
      <w:r>
        <w:rPr>
          <w:rFonts w:hint="default" w:ascii="Times New Roman" w:hAnsi="Times New Roman" w:eastAsia="方正黑体_GBK" w:cs="Times New Roman"/>
          <w:szCs w:val="28"/>
        </w:rPr>
        <w:t>黔江区城市供水“十四五”专项规划项目清单</w:t>
      </w:r>
    </w:p>
    <w:tbl>
      <w:tblPr>
        <w:tblStyle w:val="12"/>
        <w:tblW w:w="15441" w:type="dxa"/>
        <w:jc w:val="center"/>
        <w:tblLayout w:type="fixed"/>
        <w:tblCellMar>
          <w:top w:w="0" w:type="dxa"/>
          <w:left w:w="108" w:type="dxa"/>
          <w:bottom w:w="0" w:type="dxa"/>
          <w:right w:w="108" w:type="dxa"/>
        </w:tblCellMar>
      </w:tblPr>
      <w:tblGrid>
        <w:gridCol w:w="1019"/>
        <w:gridCol w:w="783"/>
        <w:gridCol w:w="1434"/>
        <w:gridCol w:w="2716"/>
        <w:gridCol w:w="834"/>
        <w:gridCol w:w="1283"/>
        <w:gridCol w:w="1033"/>
        <w:gridCol w:w="900"/>
        <w:gridCol w:w="734"/>
        <w:gridCol w:w="916"/>
        <w:gridCol w:w="917"/>
        <w:gridCol w:w="2000"/>
        <w:gridCol w:w="872"/>
      </w:tblGrid>
      <w:tr>
        <w:tblPrEx>
          <w:tblCellMar>
            <w:top w:w="0" w:type="dxa"/>
            <w:left w:w="108" w:type="dxa"/>
            <w:bottom w:w="0" w:type="dxa"/>
            <w:right w:w="108" w:type="dxa"/>
          </w:tblCellMar>
        </w:tblPrEx>
        <w:trPr>
          <w:trHeight w:val="90" w:hRule="atLeast"/>
          <w:tblHeader/>
          <w:jc w:val="center"/>
        </w:trPr>
        <w:tc>
          <w:tcPr>
            <w:tcW w:w="1019"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类别</w:t>
            </w:r>
          </w:p>
        </w:tc>
        <w:tc>
          <w:tcPr>
            <w:tcW w:w="783"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工程类型</w:t>
            </w:r>
          </w:p>
        </w:tc>
        <w:tc>
          <w:tcPr>
            <w:tcW w:w="1434"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项目名称</w:t>
            </w:r>
          </w:p>
        </w:tc>
        <w:tc>
          <w:tcPr>
            <w:tcW w:w="2716"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主要建设内容</w:t>
            </w:r>
          </w:p>
        </w:tc>
        <w:tc>
          <w:tcPr>
            <w:tcW w:w="834"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建设年限</w:t>
            </w:r>
          </w:p>
        </w:tc>
        <w:tc>
          <w:tcPr>
            <w:tcW w:w="1283"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投资性质</w:t>
            </w:r>
          </w:p>
          <w:p>
            <w:pPr>
              <w:widowControl/>
              <w:spacing w:line="340" w:lineRule="exact"/>
              <w:ind w:firstLine="0" w:firstLineChars="0"/>
              <w:jc w:val="center"/>
              <w:rPr>
                <w:rFonts w:hint="default" w:ascii="Times New Roman" w:hAnsi="Times New Roman" w:cs="Times New Roman"/>
              </w:rPr>
            </w:pPr>
          </w:p>
        </w:tc>
        <w:tc>
          <w:tcPr>
            <w:tcW w:w="1033"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总投资（万元）</w:t>
            </w:r>
          </w:p>
        </w:tc>
        <w:tc>
          <w:tcPr>
            <w:tcW w:w="2550"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资金来源</w:t>
            </w:r>
          </w:p>
        </w:tc>
        <w:tc>
          <w:tcPr>
            <w:tcW w:w="917"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建设地点</w:t>
            </w:r>
          </w:p>
        </w:tc>
        <w:tc>
          <w:tcPr>
            <w:tcW w:w="2000" w:type="dxa"/>
            <w:vMerge w:val="restart"/>
            <w:tcBorders>
              <w:top w:val="single" w:color="auto" w:sz="4" w:space="0"/>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解决问题（设项理由）</w:t>
            </w:r>
          </w:p>
        </w:tc>
        <w:tc>
          <w:tcPr>
            <w:tcW w:w="872" w:type="dxa"/>
            <w:vMerge w:val="restart"/>
            <w:tcBorders>
              <w:top w:val="single" w:color="auto" w:sz="4" w:space="0"/>
              <w:left w:val="nil"/>
              <w:right w:val="single" w:color="auto" w:sz="4" w:space="0"/>
            </w:tcBorders>
            <w:shd w:val="clear" w:color="auto" w:fill="auto"/>
            <w:vAlign w:val="center"/>
          </w:tcPr>
          <w:p>
            <w:pPr>
              <w:widowControl/>
              <w:spacing w:line="340" w:lineRule="exact"/>
              <w:ind w:right="-140" w:rightChars="-50"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备注</w:t>
            </w:r>
          </w:p>
        </w:tc>
      </w:tr>
      <w:tr>
        <w:tblPrEx>
          <w:tblCellMar>
            <w:top w:w="0" w:type="dxa"/>
            <w:left w:w="108" w:type="dxa"/>
            <w:bottom w:w="0" w:type="dxa"/>
            <w:right w:w="108" w:type="dxa"/>
          </w:tblCellMar>
        </w:tblPrEx>
        <w:trPr>
          <w:trHeight w:val="722" w:hRule="atLeast"/>
          <w:tblHeader/>
          <w:jc w:val="center"/>
        </w:trPr>
        <w:tc>
          <w:tcPr>
            <w:tcW w:w="1019" w:type="dxa"/>
            <w:vMerge w:val="continue"/>
            <w:tcBorders>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cs="Times New Roman"/>
              </w:rPr>
            </w:pPr>
          </w:p>
        </w:tc>
        <w:tc>
          <w:tcPr>
            <w:tcW w:w="783"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cs="Times New Roman"/>
              </w:rPr>
            </w:pPr>
          </w:p>
        </w:tc>
        <w:tc>
          <w:tcPr>
            <w:tcW w:w="1434"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cs="Times New Roman"/>
              </w:rPr>
            </w:pPr>
          </w:p>
        </w:tc>
        <w:tc>
          <w:tcPr>
            <w:tcW w:w="2716"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cs="Times New Roman"/>
              </w:rPr>
            </w:pPr>
          </w:p>
        </w:tc>
        <w:tc>
          <w:tcPr>
            <w:tcW w:w="834"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cs="Times New Roman"/>
              </w:rPr>
            </w:pPr>
          </w:p>
        </w:tc>
        <w:tc>
          <w:tcPr>
            <w:tcW w:w="1283"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cs="Times New Roman"/>
              </w:rPr>
            </w:pPr>
          </w:p>
        </w:tc>
        <w:tc>
          <w:tcPr>
            <w:tcW w:w="1033"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cs="Times New Roman"/>
              </w:rPr>
            </w:pP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highlight w:val="none"/>
              </w:rPr>
              <w:t>国市</w:t>
            </w:r>
            <w:r>
              <w:rPr>
                <w:rFonts w:hint="default" w:ascii="Times New Roman" w:hAnsi="Times New Roman" w:eastAsia="方正仿宋_GBK" w:cs="Times New Roman"/>
                <w:kern w:val="0"/>
                <w:sz w:val="22"/>
                <w:szCs w:val="22"/>
              </w:rPr>
              <w:t>补助</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区级财政</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业主自筹</w:t>
            </w:r>
          </w:p>
        </w:tc>
        <w:tc>
          <w:tcPr>
            <w:tcW w:w="917"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2000"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872" w:type="dxa"/>
            <w:vMerge w:val="continue"/>
            <w:tcBorders>
              <w:left w:val="nil"/>
              <w:bottom w:val="single" w:color="auto" w:sz="4" w:space="0"/>
              <w:right w:val="single" w:color="auto" w:sz="4" w:space="0"/>
            </w:tcBorders>
            <w:shd w:val="clear" w:color="auto" w:fill="auto"/>
            <w:vAlign w:val="center"/>
          </w:tcPr>
          <w:p>
            <w:pPr>
              <w:widowControl/>
              <w:spacing w:line="340" w:lineRule="exact"/>
              <w:ind w:right="-140" w:rightChars="-50" w:firstLine="0" w:firstLineChars="0"/>
              <w:jc w:val="center"/>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480" w:hRule="atLeast"/>
          <w:jc w:val="center"/>
        </w:trPr>
        <w:tc>
          <w:tcPr>
            <w:tcW w:w="101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1.黔江区城区供水管网建设工程</w:t>
            </w:r>
          </w:p>
        </w:tc>
        <w:tc>
          <w:tcPr>
            <w:tcW w:w="78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加压泵站</w:t>
            </w:r>
          </w:p>
        </w:tc>
        <w:tc>
          <w:tcPr>
            <w:tcW w:w="1434"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姚家堡片区加压供水工程</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近期新建5000吨/日姚家堡片区供水加压站一座；建设DN200~DN400供水管网约6.2km</w:t>
            </w:r>
          </w:p>
        </w:tc>
        <w:tc>
          <w:tcPr>
            <w:tcW w:w="834" w:type="dxa"/>
            <w:tcBorders>
              <w:top w:val="nil"/>
              <w:left w:val="single" w:color="auto" w:sz="4" w:space="0"/>
              <w:bottom w:val="single" w:color="auto" w:sz="4" w:space="0"/>
              <w:right w:val="single" w:color="auto" w:sz="4" w:space="0"/>
            </w:tcBorders>
            <w:shd w:val="clear" w:color="auto" w:fill="auto"/>
            <w:vAlign w:val="center"/>
          </w:tcPr>
          <w:p>
            <w:pPr>
              <w:spacing w:line="340" w:lineRule="exact"/>
              <w:ind w:firstLine="0" w:firstLineChars="0"/>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2427</w:t>
            </w:r>
          </w:p>
        </w:tc>
        <w:tc>
          <w:tcPr>
            <w:tcW w:w="900"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1456</w:t>
            </w: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971</w:t>
            </w:r>
          </w:p>
        </w:tc>
        <w:tc>
          <w:tcPr>
            <w:tcW w:w="917"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物流东路东北侧、火车站西南侧地块</w:t>
            </w:r>
          </w:p>
        </w:tc>
        <w:tc>
          <w:tcPr>
            <w:tcW w:w="2000"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城市直供水不能满足区域供水要求</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通过建设加压泵站解决正阳物流基地片区用水。</w:t>
            </w:r>
          </w:p>
        </w:tc>
        <w:tc>
          <w:tcPr>
            <w:tcW w:w="872" w:type="dxa"/>
            <w:vMerge w:val="restart"/>
            <w:tcBorders>
              <w:top w:val="nil"/>
              <w:left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1527"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远期扩建供水泵站</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提高5000吨/日供水能力</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达到10000吨/日；建设DN200供水管网约2.5km</w:t>
            </w:r>
          </w:p>
        </w:tc>
        <w:tc>
          <w:tcPr>
            <w:tcW w:w="834" w:type="dxa"/>
            <w:tcBorders>
              <w:top w:val="single" w:color="auto" w:sz="4" w:space="0"/>
              <w:left w:val="single" w:color="auto" w:sz="4" w:space="0"/>
              <w:bottom w:val="single" w:color="000000" w:sz="4" w:space="0"/>
              <w:right w:val="single" w:color="auto" w:sz="4" w:space="0"/>
            </w:tcBorders>
            <w:shd w:val="clear" w:color="auto" w:fill="auto"/>
            <w:vAlign w:val="center"/>
          </w:tcPr>
          <w:p>
            <w:pPr>
              <w:spacing w:line="340" w:lineRule="exact"/>
              <w:ind w:firstLine="0" w:firstLineChars="0"/>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2030-2031</w:t>
            </w:r>
          </w:p>
        </w:tc>
        <w:tc>
          <w:tcPr>
            <w:tcW w:w="1283"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1033"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0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200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84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南青路二次加压供水工程</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新建1.0万吨/日南青路二次加压供水工程</w:t>
            </w:r>
          </w:p>
        </w:tc>
        <w:tc>
          <w:tcPr>
            <w:tcW w:w="83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2022-2023</w:t>
            </w:r>
          </w:p>
        </w:tc>
        <w:tc>
          <w:tcPr>
            <w:tcW w:w="1283"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3238</w:t>
            </w:r>
          </w:p>
        </w:tc>
        <w:tc>
          <w:tcPr>
            <w:tcW w:w="900"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1943</w:t>
            </w:r>
          </w:p>
        </w:tc>
        <w:tc>
          <w:tcPr>
            <w:tcW w:w="734"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1295</w:t>
            </w:r>
          </w:p>
        </w:tc>
        <w:tc>
          <w:tcPr>
            <w:tcW w:w="91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老城片区南沟片区608-618m范围</w:t>
            </w:r>
          </w:p>
        </w:tc>
        <w:tc>
          <w:tcPr>
            <w:tcW w:w="20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实现老城、正阳、冯家、青杠片区互联互通环形管网</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提高供水能力保障</w:t>
            </w:r>
          </w:p>
        </w:tc>
        <w:tc>
          <w:tcPr>
            <w:tcW w:w="872"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873"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新建调节池两座</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总有效容积2000立方米</w:t>
            </w:r>
          </w:p>
        </w:tc>
        <w:tc>
          <w:tcPr>
            <w:tcW w:w="834"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1283" w:type="dxa"/>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34"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6"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7"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03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新建输配水管网约6km</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输配水能力2.0万吨/天</w:t>
            </w:r>
          </w:p>
        </w:tc>
        <w:tc>
          <w:tcPr>
            <w:tcW w:w="834"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1283" w:type="dxa"/>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34" w:type="dxa"/>
            <w:vMerge w:val="continue"/>
            <w:tcBorders>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6" w:type="dxa"/>
            <w:vMerge w:val="continue"/>
            <w:tcBorders>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7"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000000"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773"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管网改造</w:t>
            </w: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南沟路给水管改造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改造DN600-200供水管约4.5km</w:t>
            </w:r>
          </w:p>
        </w:tc>
        <w:tc>
          <w:tcPr>
            <w:tcW w:w="834"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8517</w:t>
            </w:r>
          </w:p>
        </w:tc>
        <w:tc>
          <w:tcPr>
            <w:tcW w:w="900"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5110</w:t>
            </w:r>
          </w:p>
        </w:tc>
        <w:tc>
          <w:tcPr>
            <w:tcW w:w="734"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3407</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南沟路</w:t>
            </w: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考虑部分管网建设年份较久远</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破损概率较高</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维修较为频繁</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存在供水保障风险</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结合城镇化补短板强弱项方案方针</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对老旧供水管网设施进行改造</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降低漏损率。</w:t>
            </w:r>
          </w:p>
        </w:tc>
        <w:tc>
          <w:tcPr>
            <w:tcW w:w="872" w:type="dxa"/>
            <w:vMerge w:val="restart"/>
            <w:tcBorders>
              <w:top w:val="nil"/>
              <w:left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807"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解放路供水管改造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改造DN400-200供水管约3.4km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解放路</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319线城区过境路供水管改造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改造DN300-200供水管约6.8km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 xml:space="preserve"> 319线城区过境路</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官坝至长征北路供水管改造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改造DN400-200供水管4km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官坝至长征北路</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新华桥至城北河滨路供水管改造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改造DN300-200供水管长度约2.7km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新华桥至城北河滨路</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74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三元宫水厂出厂管改造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改造DN600-150供水管约6.5km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三元宫水厂</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74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西沙路步行街管道改造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改造DN300-150供水管约2.8km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西沙路步行街</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824"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河滨南路东段供水管改造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改造DN300-200供水管1.8km等</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河滨南路东段</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武陵大道桐坪路口至金龙路口给水管更新改造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改造DN350供水管2.5km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武陵大道</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724"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正舟路供水管改造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改造DN600-300供水管改造约9km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正舟路</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黔永大道供水管改造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改造DN400-150供水管改造6.3km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黔永大道</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冯家集镇供水管改造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改造DN300-150供水管5.5km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冯家集镇</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青杠供水管改造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改造DN400-200供水管改造12km</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青杠片区</w:t>
            </w:r>
          </w:p>
        </w:tc>
        <w:tc>
          <w:tcPr>
            <w:tcW w:w="2000"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000000"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486" w:hRule="atLeast"/>
          <w:jc w:val="center"/>
        </w:trPr>
        <w:tc>
          <w:tcPr>
            <w:tcW w:w="101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2.黔江区老旧小区配套供水设施改造工程</w:t>
            </w:r>
          </w:p>
        </w:tc>
        <w:tc>
          <w:tcPr>
            <w:tcW w:w="78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配套设施改造</w:t>
            </w: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对实行一户一表老旧小区配套供水设施改造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改造5582户</w:t>
            </w:r>
          </w:p>
        </w:tc>
        <w:tc>
          <w:tcPr>
            <w:tcW w:w="834"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3724</w:t>
            </w:r>
          </w:p>
        </w:tc>
        <w:tc>
          <w:tcPr>
            <w:tcW w:w="900"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2234</w:t>
            </w:r>
          </w:p>
        </w:tc>
        <w:tc>
          <w:tcPr>
            <w:tcW w:w="734"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1490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城东、城西、城南街道</w:t>
            </w:r>
          </w:p>
        </w:tc>
        <w:tc>
          <w:tcPr>
            <w:tcW w:w="2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结合城镇化补短板强弱项方案方针</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对老旧的配套供水设施进行改造。</w:t>
            </w:r>
          </w:p>
        </w:tc>
        <w:tc>
          <w:tcPr>
            <w:tcW w:w="872" w:type="dxa"/>
            <w:vMerge w:val="restart"/>
            <w:tcBorders>
              <w:top w:val="nil"/>
              <w:left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527"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对实行一户一表老旧小区配套供水设施改造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改造7650户</w:t>
            </w:r>
          </w:p>
        </w:tc>
        <w:tc>
          <w:tcPr>
            <w:tcW w:w="834"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2022-2023</w:t>
            </w:r>
          </w:p>
        </w:tc>
        <w:tc>
          <w:tcPr>
            <w:tcW w:w="1283" w:type="dxa"/>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城东、城西、城南街道</w:t>
            </w: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2224" w:hRule="atLeast"/>
          <w:jc w:val="center"/>
        </w:trPr>
        <w:tc>
          <w:tcPr>
            <w:tcW w:w="101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3.黔江城区水厂升级改造工程</w:t>
            </w:r>
          </w:p>
        </w:tc>
        <w:tc>
          <w:tcPr>
            <w:tcW w:w="78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水厂</w:t>
            </w: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三元宫水厂新建废水脱泥处理系统</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/d废水处理能力</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主要设施包括泥水调节池、回收水池、浓缩池及污泥脱水间.</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1250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750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三元宫水厂厂区原址</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水厂按旧标准建设</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无</w:t>
            </w:r>
            <w:r>
              <w:rPr>
                <w:rFonts w:hint="default" w:ascii="Times New Roman" w:hAnsi="Times New Roman" w:eastAsia="方正仿宋_GBK" w:cs="Times New Roman"/>
                <w:kern w:val="0"/>
                <w:sz w:val="22"/>
                <w:szCs w:val="22"/>
                <w:highlight w:val="none"/>
                <w:lang w:eastAsia="zh-CN"/>
              </w:rPr>
              <w:t>泥沙</w:t>
            </w:r>
            <w:r>
              <w:rPr>
                <w:rFonts w:hint="default" w:ascii="Times New Roman" w:hAnsi="Times New Roman" w:eastAsia="方正仿宋_GBK" w:cs="Times New Roman"/>
                <w:kern w:val="0"/>
                <w:sz w:val="22"/>
                <w:szCs w:val="22"/>
              </w:rPr>
              <w:t>处理工艺。需新增</w:t>
            </w:r>
            <w:r>
              <w:rPr>
                <w:rFonts w:hint="default" w:ascii="Times New Roman" w:hAnsi="Times New Roman" w:eastAsia="方正仿宋_GBK" w:cs="Times New Roman"/>
                <w:kern w:val="0"/>
                <w:sz w:val="22"/>
                <w:szCs w:val="22"/>
                <w:highlight w:val="none"/>
                <w:lang w:eastAsia="zh-CN"/>
              </w:rPr>
              <w:t>泥沙</w:t>
            </w:r>
            <w:r>
              <w:rPr>
                <w:rFonts w:hint="default" w:ascii="Times New Roman" w:hAnsi="Times New Roman" w:eastAsia="方正仿宋_GBK" w:cs="Times New Roman"/>
                <w:kern w:val="0"/>
                <w:sz w:val="22"/>
                <w:szCs w:val="22"/>
              </w:rPr>
              <w:t>处理系统</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同时考虑后期三元宫水厂制水能力提高。</w:t>
            </w:r>
          </w:p>
        </w:tc>
        <w:tc>
          <w:tcPr>
            <w:tcW w:w="872" w:type="dxa"/>
            <w:tcBorders>
              <w:top w:val="nil"/>
              <w:left w:val="nil"/>
              <w:bottom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2124"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白家湾水厂新建废水脱泥处理系统</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/d废水处理能力</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主要建设内容及设施包括浓缩池及污泥脱水间</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1250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750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白家湾水厂厂区原址</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水厂按旧标准建设</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无</w:t>
            </w:r>
            <w:r>
              <w:rPr>
                <w:rFonts w:hint="default" w:ascii="Times New Roman" w:hAnsi="Times New Roman" w:eastAsia="方正仿宋_GBK" w:cs="Times New Roman"/>
                <w:kern w:val="0"/>
                <w:sz w:val="22"/>
                <w:szCs w:val="22"/>
                <w:highlight w:val="none"/>
                <w:lang w:eastAsia="zh-CN"/>
              </w:rPr>
              <w:t>泥沙</w:t>
            </w:r>
            <w:r>
              <w:rPr>
                <w:rFonts w:hint="default" w:ascii="Times New Roman" w:hAnsi="Times New Roman" w:eastAsia="方正仿宋_GBK" w:cs="Times New Roman"/>
                <w:kern w:val="0"/>
                <w:sz w:val="22"/>
                <w:szCs w:val="22"/>
              </w:rPr>
              <w:t>处理工艺。为应对环保风险以及尾泥的处理</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需新增</w:t>
            </w:r>
            <w:r>
              <w:rPr>
                <w:rFonts w:hint="default" w:ascii="Times New Roman" w:hAnsi="Times New Roman" w:eastAsia="方正仿宋_GBK" w:cs="Times New Roman"/>
                <w:kern w:val="0"/>
                <w:sz w:val="22"/>
                <w:szCs w:val="22"/>
                <w:highlight w:val="none"/>
                <w:lang w:eastAsia="zh-CN"/>
              </w:rPr>
              <w:t>泥沙</w:t>
            </w:r>
            <w:r>
              <w:rPr>
                <w:rFonts w:hint="default" w:ascii="Times New Roman" w:hAnsi="Times New Roman" w:eastAsia="方正仿宋_GBK" w:cs="Times New Roman"/>
                <w:kern w:val="0"/>
                <w:sz w:val="22"/>
                <w:szCs w:val="22"/>
              </w:rPr>
              <w:t>处理系统</w:t>
            </w:r>
          </w:p>
        </w:tc>
        <w:tc>
          <w:tcPr>
            <w:tcW w:w="872" w:type="dxa"/>
            <w:tcBorders>
              <w:top w:val="nil"/>
              <w:left w:val="nil"/>
              <w:bottom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2341"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老城区三元宫闲置流程改造（3.0万吨/日+2.0万吨/日）</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主要新建网格反应池、斜管沉淀池、无阀滤池、清水池、加药间、加氯间等水处理构（建）筑物</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综合楼、机修间、车库等附属建筑物</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2030-2031</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3500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2100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1400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三元宫水厂厂区原址</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老城、正阳、冯家、青杠在2031年城市预测需水量</w:t>
            </w:r>
            <w:r>
              <w:rPr>
                <w:rFonts w:hint="default" w:ascii="Times New Roman" w:hAnsi="Times New Roman" w:eastAsia="方正仿宋_GBK" w:cs="Times New Roman"/>
                <w:kern w:val="0"/>
                <w:sz w:val="22"/>
                <w:szCs w:val="22"/>
                <w:lang w:eastAsia="zh-CN"/>
              </w:rPr>
              <w:t>将</w:t>
            </w:r>
            <w:r>
              <w:rPr>
                <w:rFonts w:hint="default" w:ascii="Times New Roman" w:hAnsi="Times New Roman" w:eastAsia="方正仿宋_GBK" w:cs="Times New Roman"/>
                <w:kern w:val="0"/>
                <w:sz w:val="22"/>
                <w:szCs w:val="22"/>
              </w:rPr>
              <w:t>突破14万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需要新增供水设施提高供水能力</w:t>
            </w:r>
          </w:p>
        </w:tc>
        <w:tc>
          <w:tcPr>
            <w:tcW w:w="872" w:type="dxa"/>
            <w:tcBorders>
              <w:top w:val="nil"/>
              <w:left w:val="nil"/>
              <w:bottom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3194"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白家湾（3.0万吨/日）升级改造工程</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建设深度处理工艺</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臭氧接触池、炭滤池及臭氧发生间等深度处理设施；增加相应的自动化生产设备</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提高厂区的自动化程度</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2022-2025</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1800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白家湾水厂厂区原址</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白家湾水厂建设年份较久</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设备陈旧</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洞塘水库源水水质</w:t>
            </w:r>
            <w:r>
              <w:rPr>
                <w:rFonts w:hint="default" w:ascii="Times New Roman" w:hAnsi="Times New Roman" w:eastAsia="方正仿宋_GBK" w:cs="Times New Roman"/>
                <w:kern w:val="0"/>
                <w:sz w:val="22"/>
                <w:szCs w:val="22"/>
                <w:lang w:eastAsia="zh-CN"/>
              </w:rPr>
              <w:t>不稳定，</w:t>
            </w:r>
            <w:r>
              <w:rPr>
                <w:rFonts w:hint="default" w:ascii="Times New Roman" w:hAnsi="Times New Roman" w:eastAsia="方正仿宋_GBK" w:cs="Times New Roman"/>
                <w:kern w:val="0"/>
                <w:sz w:val="22"/>
                <w:szCs w:val="22"/>
              </w:rPr>
              <w:t>需</w:t>
            </w:r>
            <w:r>
              <w:rPr>
                <w:rFonts w:hint="default" w:ascii="Times New Roman" w:hAnsi="Times New Roman" w:eastAsia="方正仿宋_GBK" w:cs="Times New Roman"/>
                <w:kern w:val="0"/>
                <w:sz w:val="22"/>
                <w:szCs w:val="22"/>
                <w:highlight w:val="none"/>
                <w:lang w:eastAsia="zh-CN"/>
              </w:rPr>
              <w:t>在</w:t>
            </w:r>
            <w:r>
              <w:rPr>
                <w:rFonts w:hint="default" w:ascii="Times New Roman" w:hAnsi="Times New Roman" w:eastAsia="方正仿宋_GBK" w:cs="Times New Roman"/>
                <w:kern w:val="0"/>
                <w:sz w:val="22"/>
                <w:szCs w:val="22"/>
              </w:rPr>
              <w:t>城区用水保障的前提下（在青杠水厂和正阳水厂三期建成后）对水厂进行提标升级改造。</w:t>
            </w:r>
          </w:p>
        </w:tc>
        <w:tc>
          <w:tcPr>
            <w:tcW w:w="872" w:type="dxa"/>
            <w:tcBorders>
              <w:top w:val="nil"/>
              <w:left w:val="nil"/>
              <w:bottom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1843" w:hRule="atLeast"/>
          <w:jc w:val="center"/>
        </w:trPr>
        <w:tc>
          <w:tcPr>
            <w:tcW w:w="1019" w:type="dxa"/>
            <w:vMerge w:val="restart"/>
            <w:tcBorders>
              <w:top w:val="nil"/>
              <w:left w:val="single" w:color="auto" w:sz="4" w:space="0"/>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4.黔江区青杠水厂及配套管网建设工程</w:t>
            </w:r>
          </w:p>
        </w:tc>
        <w:tc>
          <w:tcPr>
            <w:tcW w:w="783" w:type="dxa"/>
            <w:vMerge w:val="restart"/>
            <w:tcBorders>
              <w:top w:val="nil"/>
              <w:left w:val="single" w:color="auto" w:sz="4" w:space="0"/>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水厂</w:t>
            </w:r>
          </w:p>
        </w:tc>
        <w:tc>
          <w:tcPr>
            <w:tcW w:w="1434" w:type="dxa"/>
            <w:vMerge w:val="restart"/>
            <w:tcBorders>
              <w:top w:val="nil"/>
              <w:left w:val="single" w:color="auto" w:sz="4" w:space="0"/>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新建青杠水厂</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lang w:eastAsia="zh-CN"/>
              </w:rPr>
            </w:pPr>
            <w:r>
              <w:rPr>
                <w:rFonts w:hint="default" w:ascii="Times New Roman" w:hAnsi="Times New Roman" w:eastAsia="方正仿宋_GBK" w:cs="Times New Roman"/>
                <w:kern w:val="0"/>
                <w:sz w:val="22"/>
                <w:szCs w:val="22"/>
              </w:rPr>
              <w:t>青杠水厂及配套管网建设工程含新建DN1000-600输水管道约5.5</w:t>
            </w:r>
            <w:r>
              <w:rPr>
                <w:rFonts w:hint="default" w:ascii="Times New Roman" w:hAnsi="Times New Roman" w:eastAsia="方正仿宋_GBK" w:cs="Times New Roman"/>
                <w:kern w:val="0"/>
                <w:sz w:val="22"/>
                <w:szCs w:val="22"/>
                <w:highlight w:val="none"/>
                <w:lang w:eastAsia="zh-CN"/>
              </w:rPr>
              <w:t>km</w:t>
            </w:r>
            <w:r>
              <w:rPr>
                <w:rFonts w:hint="default" w:ascii="Times New Roman" w:hAnsi="Times New Roman" w:eastAsia="方正仿宋_GBK" w:cs="Times New Roman"/>
                <w:kern w:val="0"/>
                <w:sz w:val="22"/>
                <w:szCs w:val="22"/>
              </w:rPr>
              <w:t>和DN600-160配水管道18.5</w:t>
            </w:r>
            <w:r>
              <w:rPr>
                <w:rFonts w:hint="default" w:ascii="Times New Roman" w:hAnsi="Times New Roman" w:eastAsia="方正仿宋_GBK" w:cs="Times New Roman"/>
                <w:kern w:val="0"/>
                <w:sz w:val="22"/>
                <w:szCs w:val="22"/>
                <w:highlight w:val="none"/>
                <w:lang w:eastAsia="zh-CN"/>
              </w:rPr>
              <w:t>km</w:t>
            </w:r>
          </w:p>
        </w:tc>
        <w:tc>
          <w:tcPr>
            <w:tcW w:w="834" w:type="dxa"/>
            <w:vMerge w:val="restart"/>
            <w:tcBorders>
              <w:top w:val="nil"/>
              <w:left w:val="single" w:color="auto" w:sz="4" w:space="0"/>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2022-2025</w:t>
            </w:r>
          </w:p>
        </w:tc>
        <w:tc>
          <w:tcPr>
            <w:tcW w:w="1283"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nil"/>
              <w:left w:val="single" w:color="auto" w:sz="4" w:space="0"/>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12000</w:t>
            </w:r>
          </w:p>
        </w:tc>
        <w:tc>
          <w:tcPr>
            <w:tcW w:w="900"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7200</w:t>
            </w:r>
          </w:p>
        </w:tc>
        <w:tc>
          <w:tcPr>
            <w:tcW w:w="734"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4800</w:t>
            </w:r>
          </w:p>
        </w:tc>
        <w:tc>
          <w:tcPr>
            <w:tcW w:w="91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青杠片区香水居委1组</w:t>
            </w:r>
          </w:p>
        </w:tc>
        <w:tc>
          <w:tcPr>
            <w:tcW w:w="2000" w:type="dxa"/>
            <w:vMerge w:val="restart"/>
            <w:tcBorders>
              <w:top w:val="nil"/>
              <w:left w:val="single" w:color="auto" w:sz="4" w:space="0"/>
              <w:bottom w:val="nil"/>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城市发展</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用水规模提高</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需要新增供水设施提高供水能力</w:t>
            </w:r>
          </w:p>
        </w:tc>
        <w:tc>
          <w:tcPr>
            <w:tcW w:w="872" w:type="dxa"/>
            <w:vMerge w:val="restart"/>
            <w:tcBorders>
              <w:top w:val="nil"/>
              <w:left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978" w:hRule="atLeast"/>
          <w:jc w:val="center"/>
        </w:trPr>
        <w:tc>
          <w:tcPr>
            <w:tcW w:w="1019" w:type="dxa"/>
            <w:vMerge w:val="continue"/>
            <w:tcBorders>
              <w:top w:val="nil"/>
              <w:left w:val="single" w:color="auto" w:sz="4" w:space="0"/>
              <w:bottom w:val="nil"/>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nil"/>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continue"/>
            <w:tcBorders>
              <w:top w:val="nil"/>
              <w:left w:val="single" w:color="auto" w:sz="4" w:space="0"/>
              <w:bottom w:val="nil"/>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南青路</w:t>
            </w:r>
            <w:r>
              <w:rPr>
                <w:rFonts w:hint="default" w:ascii="Times New Roman" w:hAnsi="Times New Roman" w:eastAsia="方正仿宋_GBK" w:cs="Times New Roman"/>
                <w:kern w:val="0"/>
                <w:sz w:val="22"/>
                <w:szCs w:val="22"/>
                <w:highlight w:val="none"/>
                <w:lang w:eastAsia="zh-CN"/>
              </w:rPr>
              <w:t>（</w:t>
            </w:r>
            <w:r>
              <w:rPr>
                <w:rFonts w:hint="default" w:ascii="Times New Roman" w:hAnsi="Times New Roman" w:eastAsia="方正仿宋_GBK" w:cs="Times New Roman"/>
                <w:kern w:val="0"/>
                <w:sz w:val="22"/>
                <w:szCs w:val="22"/>
              </w:rPr>
              <w:t>青杠</w:t>
            </w:r>
            <w:r>
              <w:rPr>
                <w:rFonts w:hint="default" w:ascii="Times New Roman" w:hAnsi="Times New Roman" w:eastAsia="方正仿宋_GBK" w:cs="Times New Roman"/>
                <w:kern w:val="0"/>
                <w:sz w:val="22"/>
                <w:szCs w:val="22"/>
                <w:highlight w:val="none"/>
                <w:lang w:eastAsia="zh-CN"/>
              </w:rPr>
              <w:t>）</w:t>
            </w:r>
            <w:r>
              <w:rPr>
                <w:rFonts w:hint="default" w:ascii="Times New Roman" w:hAnsi="Times New Roman" w:eastAsia="方正仿宋_GBK" w:cs="Times New Roman"/>
                <w:kern w:val="0"/>
                <w:sz w:val="22"/>
                <w:szCs w:val="22"/>
              </w:rPr>
              <w:t>加压泵站1.0万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w:t>
            </w:r>
          </w:p>
        </w:tc>
        <w:tc>
          <w:tcPr>
            <w:tcW w:w="834" w:type="dxa"/>
            <w:vMerge w:val="continue"/>
            <w:tcBorders>
              <w:top w:val="nil"/>
              <w:left w:val="single" w:color="auto" w:sz="4" w:space="0"/>
              <w:bottom w:val="nil"/>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1283" w:type="dxa"/>
            <w:vMerge w:val="continue"/>
            <w:tcBorders>
              <w:left w:val="nil"/>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033" w:type="dxa"/>
            <w:vMerge w:val="continue"/>
            <w:tcBorders>
              <w:top w:val="nil"/>
              <w:left w:val="single" w:color="auto" w:sz="4" w:space="0"/>
              <w:bottom w:val="nil"/>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34"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6"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7"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000" w:type="dxa"/>
            <w:vMerge w:val="continue"/>
            <w:tcBorders>
              <w:top w:val="nil"/>
              <w:left w:val="single" w:color="auto" w:sz="4" w:space="0"/>
              <w:bottom w:val="nil"/>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098" w:hRule="atLeast"/>
          <w:jc w:val="center"/>
        </w:trPr>
        <w:tc>
          <w:tcPr>
            <w:tcW w:w="1019"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南青路</w:t>
            </w:r>
            <w:r>
              <w:rPr>
                <w:rFonts w:hint="default" w:ascii="Times New Roman" w:hAnsi="Times New Roman" w:eastAsia="方正仿宋_GBK" w:cs="Times New Roman"/>
                <w:kern w:val="0"/>
                <w:sz w:val="22"/>
                <w:szCs w:val="22"/>
                <w:highlight w:val="none"/>
                <w:lang w:eastAsia="zh-CN"/>
              </w:rPr>
              <w:t>（</w:t>
            </w:r>
            <w:r>
              <w:rPr>
                <w:rFonts w:hint="default" w:ascii="Times New Roman" w:hAnsi="Times New Roman" w:eastAsia="方正仿宋_GBK" w:cs="Times New Roman"/>
                <w:kern w:val="0"/>
                <w:sz w:val="22"/>
                <w:szCs w:val="22"/>
              </w:rPr>
              <w:t>青杠</w:t>
            </w:r>
            <w:r>
              <w:rPr>
                <w:rFonts w:hint="default" w:ascii="Times New Roman" w:hAnsi="Times New Roman" w:eastAsia="方正仿宋_GBK" w:cs="Times New Roman"/>
                <w:kern w:val="0"/>
                <w:sz w:val="22"/>
                <w:szCs w:val="22"/>
                <w:highlight w:val="none"/>
                <w:lang w:eastAsia="zh-CN"/>
              </w:rPr>
              <w:t>）</w:t>
            </w:r>
            <w:r>
              <w:rPr>
                <w:rFonts w:hint="default" w:ascii="Times New Roman" w:hAnsi="Times New Roman" w:eastAsia="方正仿宋_GBK" w:cs="Times New Roman"/>
                <w:kern w:val="0"/>
                <w:sz w:val="22"/>
                <w:szCs w:val="22"/>
              </w:rPr>
              <w:t>加压泵站调节池1000 m</w:t>
            </w:r>
            <w:r>
              <w:rPr>
                <w:rFonts w:hint="default" w:ascii="Times New Roman" w:hAnsi="Times New Roman" w:eastAsia="方正仿宋_GBK" w:cs="Times New Roman"/>
                <w:kern w:val="0"/>
                <w:sz w:val="22"/>
                <w:szCs w:val="22"/>
                <w:vertAlign w:val="superscript"/>
              </w:rPr>
              <w:t>3</w:t>
            </w:r>
          </w:p>
        </w:tc>
        <w:tc>
          <w:tcPr>
            <w:tcW w:w="834"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1283" w:type="dxa"/>
            <w:vMerge w:val="continue"/>
            <w:tcBorders>
              <w:left w:val="nil"/>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033"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34" w:type="dxa"/>
            <w:vMerge w:val="continue"/>
            <w:tcBorders>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6" w:type="dxa"/>
            <w:vMerge w:val="continue"/>
            <w:tcBorders>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7"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790" w:hRule="atLeast"/>
          <w:jc w:val="center"/>
        </w:trPr>
        <w:tc>
          <w:tcPr>
            <w:tcW w:w="1019"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5.黔江区城区扩展供水管网延伸建设工程</w:t>
            </w:r>
          </w:p>
        </w:tc>
        <w:tc>
          <w:tcPr>
            <w:tcW w:w="783"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新建管网</w:t>
            </w:r>
          </w:p>
        </w:tc>
        <w:tc>
          <w:tcPr>
            <w:tcW w:w="1434"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金龙路下段</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新建DN600供水管道600m</w:t>
            </w:r>
          </w:p>
        </w:tc>
        <w:tc>
          <w:tcPr>
            <w:tcW w:w="8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2100</w:t>
            </w:r>
          </w:p>
        </w:tc>
        <w:tc>
          <w:tcPr>
            <w:tcW w:w="900"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1260</w:t>
            </w:r>
          </w:p>
        </w:tc>
        <w:tc>
          <w:tcPr>
            <w:tcW w:w="734"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840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金龙路下段</w:t>
            </w:r>
          </w:p>
        </w:tc>
        <w:tc>
          <w:tcPr>
            <w:tcW w:w="20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城市发展</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城区范围扩大</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需要新建管网保障扩展区域供水</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具体开展位置</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建设时间需要根据城区道路扩充进展情况</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安排每年的建设计划。</w:t>
            </w:r>
          </w:p>
        </w:tc>
        <w:tc>
          <w:tcPr>
            <w:tcW w:w="872" w:type="dxa"/>
            <w:vMerge w:val="restart"/>
            <w:tcBorders>
              <w:top w:val="single" w:color="auto" w:sz="4" w:space="0"/>
              <w:left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1147"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园区路北段（金龙路－香山寺路）</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新建DN500供水管道1550m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园区路北段</w:t>
            </w: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114"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园区路北段（香山寺路－阿蓬江路）</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新建DN400供水管道1650m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园区路北段</w:t>
            </w: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166"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武陵大道西侧（金龙路－桐坪路）</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新建DN400供水管道2400m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武陵大道西侧</w:t>
            </w: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869"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芭拉葫景区配套项目区</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新建DN300-150供水管道5000m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芭拉葫景区</w:t>
            </w: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147"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沿国道319线应急备用管道</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新建DN150供水管道2000m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沿国道319线</w:t>
            </w: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773"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黄沙坝</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新建DN400-300供水管道4250m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黄沙坝</w:t>
            </w:r>
          </w:p>
        </w:tc>
        <w:tc>
          <w:tcPr>
            <w:tcW w:w="20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000000"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ind w:left="-140" w:leftChars="-50" w:right="-140" w:rightChars="-50" w:firstLine="0" w:firstLineChars="0"/>
              <w:jc w:val="center"/>
              <w:textAlignment w:val="auto"/>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蔬毛坪道路沿线管网延伸</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新建DN600供水管道1800m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2026-2030</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1500</w:t>
            </w:r>
          </w:p>
        </w:tc>
        <w:tc>
          <w:tcPr>
            <w:tcW w:w="900"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900</w:t>
            </w:r>
          </w:p>
        </w:tc>
        <w:tc>
          <w:tcPr>
            <w:tcW w:w="734"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nil"/>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600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蔬毛坪</w:t>
            </w:r>
          </w:p>
        </w:tc>
        <w:tc>
          <w:tcPr>
            <w:tcW w:w="2000" w:type="dxa"/>
            <w:vMerge w:val="restart"/>
            <w:tcBorders>
              <w:top w:val="single" w:color="auto" w:sz="4" w:space="0"/>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未来蓬东片区纳入中心城区建设</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预计到2025年仍由麻田坝水厂单独供水</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到2026-2035年城区发展到蓬东片区</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现状麻田坝水厂无法满足供水需求</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需要将蓬东片区供水纳入中心城区供水网络</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通过新建延伸管网覆盖。</w:t>
            </w:r>
          </w:p>
        </w:tc>
        <w:tc>
          <w:tcPr>
            <w:tcW w:w="872" w:type="dxa"/>
            <w:vMerge w:val="restart"/>
            <w:tcBorders>
              <w:top w:val="single" w:color="auto" w:sz="4" w:space="0"/>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市级规划关注项目</w:t>
            </w:r>
          </w:p>
        </w:tc>
      </w:tr>
      <w:tr>
        <w:tblPrEx>
          <w:tblCellMar>
            <w:top w:w="0" w:type="dxa"/>
            <w:left w:w="108" w:type="dxa"/>
            <w:bottom w:w="0" w:type="dxa"/>
            <w:right w:w="108" w:type="dxa"/>
          </w:tblCellMar>
        </w:tblPrEx>
        <w:trPr>
          <w:trHeight w:val="570"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ind w:left="-140" w:leftChars="-50" w:right="-140" w:rightChars="-50" w:firstLine="0" w:firstLineChars="0"/>
              <w:jc w:val="center"/>
              <w:textAlignment w:val="auto"/>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玉泉村道路沿线管网延伸</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新建DN500供水管道2000m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2026-2030</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玉泉村</w:t>
            </w:r>
          </w:p>
        </w:tc>
        <w:tc>
          <w:tcPr>
            <w:tcW w:w="2000"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玉泉村-团结村道路沿线管网延伸</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新建DN400供水管道1000m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2026-2030</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玉泉村-团结村</w:t>
            </w:r>
          </w:p>
        </w:tc>
        <w:tc>
          <w:tcPr>
            <w:tcW w:w="2000"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团结村-麻田村道路沿线管网延伸</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新建DN400供水管道2000m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2026-2030</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00"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团结村-麻田村</w:t>
            </w:r>
          </w:p>
        </w:tc>
        <w:tc>
          <w:tcPr>
            <w:tcW w:w="2000"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90" w:hRule="atLeast"/>
          <w:jc w:val="center"/>
        </w:trPr>
        <w:tc>
          <w:tcPr>
            <w:tcW w:w="1019" w:type="dxa"/>
            <w:vMerge w:val="continue"/>
            <w:tcBorders>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团结村-和平村道路沿线管网延伸</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新建DN300供水管道2000m</w:t>
            </w:r>
          </w:p>
        </w:tc>
        <w:tc>
          <w:tcPr>
            <w:tcW w:w="834"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2026-2030</w:t>
            </w:r>
          </w:p>
        </w:tc>
        <w:tc>
          <w:tcPr>
            <w:tcW w:w="12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00"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continue"/>
            <w:tcBorders>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团结村-和平村</w:t>
            </w:r>
          </w:p>
        </w:tc>
        <w:tc>
          <w:tcPr>
            <w:tcW w:w="2000" w:type="dxa"/>
            <w:vMerge w:val="continue"/>
            <w:tcBorders>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auto" w:sz="4" w:space="0"/>
              <w:right w:val="single" w:color="auto" w:sz="4" w:space="0"/>
            </w:tcBorders>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995" w:hRule="atLeast"/>
          <w:jc w:val="center"/>
        </w:trPr>
        <w:tc>
          <w:tcPr>
            <w:tcW w:w="101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6.黔江城区水厂制水规模提升工程</w:t>
            </w:r>
          </w:p>
        </w:tc>
        <w:tc>
          <w:tcPr>
            <w:tcW w:w="78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水厂</w:t>
            </w: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正阳水厂（二期）（2.0万吨/日+2.0万吨/日）</w:t>
            </w:r>
          </w:p>
        </w:tc>
        <w:tc>
          <w:tcPr>
            <w:tcW w:w="2716"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新建2.0万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/d网格絮凝-斜管沉淀池</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有效净容积约为1750m</w:t>
            </w:r>
            <w:r>
              <w:rPr>
                <w:rFonts w:hint="default" w:ascii="Times New Roman" w:hAnsi="Times New Roman" w:eastAsia="方正仿宋_GBK" w:cs="Times New Roman"/>
                <w:kern w:val="0"/>
                <w:sz w:val="22"/>
                <w:szCs w:val="22"/>
                <w:vertAlign w:val="superscript"/>
              </w:rPr>
              <w:t>3</w:t>
            </w:r>
            <w:r>
              <w:rPr>
                <w:rFonts w:hint="default" w:ascii="Times New Roman" w:hAnsi="Times New Roman" w:eastAsia="方正仿宋_GBK" w:cs="Times New Roman"/>
                <w:kern w:val="0"/>
                <w:sz w:val="22"/>
                <w:szCs w:val="22"/>
              </w:rPr>
              <w:t>的清水池；</w:t>
            </w:r>
            <w:r>
              <w:rPr>
                <w:rFonts w:hint="default" w:ascii="Times New Roman" w:hAnsi="Times New Roman" w:eastAsia="方正仿宋_GBK" w:cs="Times New Roman"/>
                <w:kern w:val="0"/>
                <w:sz w:val="22"/>
                <w:szCs w:val="22"/>
              </w:rPr>
              <w:br w:type="textWrapping"/>
            </w:r>
            <w:r>
              <w:rPr>
                <w:rFonts w:hint="default" w:ascii="Times New Roman" w:hAnsi="Times New Roman" w:eastAsia="方正仿宋_GBK" w:cs="Times New Roman"/>
                <w:kern w:val="0"/>
                <w:sz w:val="22"/>
                <w:szCs w:val="22"/>
              </w:rPr>
              <w:t>2.0万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/d反冲洗滤池-反冲洗泵房</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废水回收水池</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排泥水池</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重力式浓缩水池</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污泥脱水机房等</w:t>
            </w:r>
          </w:p>
        </w:tc>
        <w:tc>
          <w:tcPr>
            <w:tcW w:w="834"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2025-2026</w:t>
            </w:r>
          </w:p>
        </w:tc>
        <w:tc>
          <w:tcPr>
            <w:tcW w:w="1283"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3000</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1800</w:t>
            </w:r>
          </w:p>
        </w:tc>
        <w:tc>
          <w:tcPr>
            <w:tcW w:w="734"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1200</w:t>
            </w:r>
          </w:p>
        </w:tc>
        <w:tc>
          <w:tcPr>
            <w:tcW w:w="917"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正阳水厂厂区原址</w:t>
            </w:r>
          </w:p>
        </w:tc>
        <w:tc>
          <w:tcPr>
            <w:tcW w:w="2000"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老城、正阳、冯家、青杠在2026年城市需水量突破10万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需要新增供水设施提高供水能力</w:t>
            </w:r>
          </w:p>
        </w:tc>
        <w:tc>
          <w:tcPr>
            <w:tcW w:w="872"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425"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正阳水厂（三期）（4.0万吨/日+2.0万吨/日）</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highlight w:val="none"/>
                <w:lang w:eastAsia="zh-CN"/>
              </w:rPr>
              <w:t>新建</w:t>
            </w:r>
            <w:r>
              <w:rPr>
                <w:rFonts w:hint="default" w:ascii="Times New Roman" w:hAnsi="Times New Roman" w:eastAsia="方正仿宋_GBK" w:cs="Times New Roman"/>
                <w:kern w:val="0"/>
                <w:sz w:val="22"/>
                <w:szCs w:val="22"/>
              </w:rPr>
              <w:t>2.0万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/d网格絮凝-斜管沉淀池一座</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2.0万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/d反冲洗滤池-反冲洗泵房一座等；出厂水管网改造DN800约800m</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2028-2029</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3300</w:t>
            </w:r>
          </w:p>
        </w:tc>
        <w:tc>
          <w:tcPr>
            <w:tcW w:w="900" w:type="dxa"/>
            <w:tcBorders>
              <w:top w:val="nil"/>
              <w:left w:val="nil"/>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1980</w:t>
            </w:r>
          </w:p>
        </w:tc>
        <w:tc>
          <w:tcPr>
            <w:tcW w:w="734" w:type="dxa"/>
            <w:tcBorders>
              <w:top w:val="nil"/>
              <w:left w:val="nil"/>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1320</w:t>
            </w:r>
          </w:p>
        </w:tc>
        <w:tc>
          <w:tcPr>
            <w:tcW w:w="917" w:type="dxa"/>
            <w:tcBorders>
              <w:top w:val="nil"/>
              <w:left w:val="nil"/>
              <w:bottom w:val="nil"/>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正阳水厂厂区原址</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老城、正阳、冯家、青杠在2029年城市需水量突破现状供水能力12万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需新增供水设施提高供水能力</w:t>
            </w:r>
          </w:p>
        </w:tc>
        <w:tc>
          <w:tcPr>
            <w:tcW w:w="872"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right="-140" w:rightChars="-50"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14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舟白水厂提标升级改造（2.0万吨/日+2.0万吨/日）</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新建新建2.0万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/d网格絮凝-斜管沉淀池一座</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2.0万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/d反冲洗滤池-反冲洗泵房一座等</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2028-2029</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3000</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1800</w:t>
            </w:r>
          </w:p>
        </w:tc>
        <w:tc>
          <w:tcPr>
            <w:tcW w:w="734"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1200</w:t>
            </w:r>
          </w:p>
        </w:tc>
        <w:tc>
          <w:tcPr>
            <w:tcW w:w="917"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舟白水厂厂区原址</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在2029年舟白片区需水量突破现状2.0万</w:t>
            </w:r>
            <w:r>
              <w:rPr>
                <w:rFonts w:hint="default" w:ascii="Times New Roman" w:hAnsi="Times New Roman" w:eastAsia="方正仿宋_GBK" w:cs="Times New Roman"/>
                <w:kern w:val="0"/>
                <w:sz w:val="22"/>
                <w:szCs w:val="22"/>
                <w:highlight w:val="none"/>
              </w:rPr>
              <w:t>m</w:t>
            </w:r>
            <w:r>
              <w:rPr>
                <w:rFonts w:hint="default" w:ascii="Times New Roman" w:hAnsi="Times New Roman" w:eastAsia="方正仿宋_GBK" w:cs="Times New Roman"/>
                <w:kern w:val="0"/>
                <w:sz w:val="22"/>
                <w:szCs w:val="22"/>
                <w:highlight w:val="none"/>
                <w:vertAlign w:val="superscript"/>
              </w:rPr>
              <w:t>3</w:t>
            </w:r>
            <w:r>
              <w:rPr>
                <w:rFonts w:hint="default" w:ascii="Times New Roman" w:hAnsi="Times New Roman" w:eastAsia="方正仿宋_GBK" w:cs="Times New Roman"/>
                <w:kern w:val="0"/>
                <w:sz w:val="22"/>
                <w:szCs w:val="22"/>
              </w:rPr>
              <w:t>/d供水能力</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需要新增供水设施提高供水能力</w:t>
            </w:r>
          </w:p>
        </w:tc>
        <w:tc>
          <w:tcPr>
            <w:tcW w:w="872"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840" w:hRule="atLeast"/>
          <w:jc w:val="center"/>
        </w:trPr>
        <w:tc>
          <w:tcPr>
            <w:tcW w:w="101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7.黔江区城市供水水源工程</w:t>
            </w:r>
          </w:p>
        </w:tc>
        <w:tc>
          <w:tcPr>
            <w:tcW w:w="78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水源</w:t>
            </w:r>
          </w:p>
        </w:tc>
        <w:tc>
          <w:tcPr>
            <w:tcW w:w="14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白家湾水厂应急水源规划</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源水取水口改造工程</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500</w:t>
            </w:r>
          </w:p>
        </w:tc>
        <w:tc>
          <w:tcPr>
            <w:tcW w:w="900"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300</w:t>
            </w:r>
          </w:p>
        </w:tc>
        <w:tc>
          <w:tcPr>
            <w:tcW w:w="734"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200</w:t>
            </w:r>
          </w:p>
        </w:tc>
        <w:tc>
          <w:tcPr>
            <w:tcW w:w="917" w:type="dxa"/>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洞塘水库</w:t>
            </w:r>
          </w:p>
        </w:tc>
        <w:tc>
          <w:tcPr>
            <w:tcW w:w="2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白家湾水厂为老城区主要供水水厂</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洞塘水库集雨面积小</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水质状况不稳定</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考虑对洞塘水库取水口进行改造</w:t>
            </w:r>
            <w:r>
              <w:rPr>
                <w:rFonts w:hint="default" w:ascii="Times New Roman" w:hAnsi="Times New Roman" w:eastAsia="方正仿宋_GBK" w:cs="Times New Roman"/>
                <w:kern w:val="0"/>
                <w:sz w:val="22"/>
                <w:szCs w:val="22"/>
                <w:lang w:eastAsia="zh-CN"/>
              </w:rPr>
              <w:t>，新建</w:t>
            </w:r>
            <w:r>
              <w:rPr>
                <w:rFonts w:hint="default" w:ascii="Times New Roman" w:hAnsi="Times New Roman" w:eastAsia="方正仿宋_GBK" w:cs="Times New Roman"/>
                <w:kern w:val="0"/>
                <w:sz w:val="22"/>
                <w:szCs w:val="22"/>
              </w:rPr>
              <w:t>备用水源工程将城北水库水源引至白家湾水厂</w:t>
            </w:r>
          </w:p>
        </w:tc>
        <w:tc>
          <w:tcPr>
            <w:tcW w:w="872"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48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DN700输水管道3700m</w:t>
            </w:r>
          </w:p>
        </w:tc>
        <w:tc>
          <w:tcPr>
            <w:tcW w:w="83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2025-2027</w:t>
            </w:r>
          </w:p>
        </w:tc>
        <w:tc>
          <w:tcPr>
            <w:tcW w:w="1283"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2100</w:t>
            </w:r>
          </w:p>
        </w:tc>
        <w:tc>
          <w:tcPr>
            <w:tcW w:w="900"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1260</w:t>
            </w:r>
          </w:p>
        </w:tc>
        <w:tc>
          <w:tcPr>
            <w:tcW w:w="734"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840</w:t>
            </w:r>
          </w:p>
        </w:tc>
        <w:tc>
          <w:tcPr>
            <w:tcW w:w="917"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将城北水库水源引至白家湾水厂</w:t>
            </w: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859"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提水加压泵站1座</w:t>
            </w:r>
          </w:p>
        </w:tc>
        <w:tc>
          <w:tcPr>
            <w:tcW w:w="834"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283" w:type="dxa"/>
            <w:vMerge w:val="continue"/>
            <w:tcBorders>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033"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0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34"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6"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917" w:type="dxa"/>
            <w:vMerge w:val="continue"/>
            <w:tcBorders>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285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舟白水厂应急水源规划</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城北水库备用水源管道1000m及提水加压泵站1座建设</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2021-2022</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1000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600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400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城北水库</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小南海渠道输水距离过长</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存在风险</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影响水厂正常供水。（湾塘抽水投资太大</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目前城北水库水量足够作为备用水源</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可以考虑在现有三元宫从城北水库取水的管道基础上增设）</w:t>
            </w:r>
          </w:p>
        </w:tc>
        <w:tc>
          <w:tcPr>
            <w:tcW w:w="872"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3456"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小南海水库取水口改造</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进水口改造为分层取水方式</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2022-2023</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小南海水库取水点</w:t>
            </w:r>
          </w:p>
        </w:tc>
        <w:tc>
          <w:tcPr>
            <w:tcW w:w="20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因小南海水库底层有不同程度淤积</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现有取水口位置相对较低</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枯水季节</w:t>
            </w:r>
            <w:r>
              <w:rPr>
                <w:rFonts w:hint="default" w:ascii="Times New Roman" w:hAnsi="Times New Roman" w:eastAsia="方正仿宋_GBK" w:cs="Times New Roman"/>
                <w:kern w:val="0"/>
                <w:sz w:val="22"/>
                <w:szCs w:val="22"/>
                <w:lang w:eastAsia="zh-CN"/>
              </w:rPr>
              <w:t>水质易</w:t>
            </w:r>
            <w:r>
              <w:rPr>
                <w:rFonts w:hint="default" w:ascii="Times New Roman" w:hAnsi="Times New Roman" w:eastAsia="方正仿宋_GBK" w:cs="Times New Roman"/>
                <w:kern w:val="0"/>
                <w:sz w:val="22"/>
                <w:szCs w:val="22"/>
              </w:rPr>
              <w:t>受影响</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考虑对小南海输水渠道取水口进行改造</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利用分层取水方式</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保障供水水量与水质安全。</w:t>
            </w:r>
          </w:p>
        </w:tc>
        <w:tc>
          <w:tcPr>
            <w:tcW w:w="872"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8.智慧水务系统建设</w:t>
            </w:r>
          </w:p>
        </w:tc>
        <w:tc>
          <w:tcPr>
            <w:tcW w:w="78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终端系统</w:t>
            </w: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表</w:t>
            </w:r>
            <w:r>
              <w:rPr>
                <w:rFonts w:hint="default" w:ascii="Times New Roman" w:hAnsi="Times New Roman" w:eastAsia="方正仿宋_GBK" w:cs="Times New Roman"/>
                <w:kern w:val="0"/>
                <w:sz w:val="22"/>
                <w:szCs w:val="22"/>
                <w:highlight w:val="none"/>
              </w:rPr>
              <w:t>务系统</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1套</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w:t>
            </w:r>
          </w:p>
        </w:tc>
        <w:tc>
          <w:tcPr>
            <w:tcW w:w="2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在“十三五”期间初步搭建的智慧水务子系统基础上</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逐步完善城市供水前端设备建设</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继续完善城市供水智慧水务系统建设。结合城镇化补短板强弱项方案方针</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建设集约化数据中心及配套的前端数据收集设施设备</w:t>
            </w:r>
            <w:r>
              <w:rPr>
                <w:rFonts w:hint="default" w:ascii="Times New Roman" w:hAnsi="Times New Roman" w:eastAsia="方正仿宋_GBK" w:cs="Times New Roman"/>
                <w:kern w:val="0"/>
                <w:sz w:val="22"/>
                <w:szCs w:val="22"/>
                <w:lang w:eastAsia="zh-CN"/>
              </w:rPr>
              <w:t>，</w:t>
            </w:r>
            <w:r>
              <w:rPr>
                <w:rFonts w:hint="default" w:ascii="Times New Roman" w:hAnsi="Times New Roman" w:eastAsia="方正仿宋_GBK" w:cs="Times New Roman"/>
                <w:kern w:val="0"/>
                <w:sz w:val="22"/>
                <w:szCs w:val="22"/>
              </w:rPr>
              <w:t>完善城市智慧水务系统建设。</w:t>
            </w:r>
          </w:p>
        </w:tc>
        <w:tc>
          <w:tcPr>
            <w:tcW w:w="872" w:type="dxa"/>
            <w:vMerge w:val="restart"/>
            <w:tcBorders>
              <w:top w:val="nil"/>
              <w:left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建设GIS系统</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1套</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2022</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80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w:t>
            </w: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建立供水系统水力与水质模型</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1套</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2022</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80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w:t>
            </w: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343" w:hRule="atLeast"/>
          <w:jc w:val="center"/>
        </w:trPr>
        <w:tc>
          <w:tcPr>
            <w:tcW w:w="1019" w:type="dxa"/>
            <w:vMerge w:val="continue"/>
            <w:tcBorders>
              <w:top w:val="nil"/>
              <w:left w:val="single" w:color="auto" w:sz="4" w:space="0"/>
              <w:bottom w:val="single" w:color="000000"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前端设备</w:t>
            </w: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SCADA调度系统管网测控站</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40套</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180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120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中心城区供水管网</w:t>
            </w: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restart"/>
            <w:tcBorders>
              <w:top w:val="nil"/>
              <w:left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1393" w:hRule="atLeast"/>
          <w:jc w:val="center"/>
        </w:trPr>
        <w:tc>
          <w:tcPr>
            <w:tcW w:w="1019"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783"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14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住宅二次供水管理系统</w:t>
            </w:r>
          </w:p>
        </w:tc>
        <w:tc>
          <w:tcPr>
            <w:tcW w:w="27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50套</w:t>
            </w:r>
          </w:p>
        </w:tc>
        <w:tc>
          <w:tcPr>
            <w:tcW w:w="8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2021-2025</w:t>
            </w:r>
          </w:p>
        </w:tc>
        <w:tc>
          <w:tcPr>
            <w:tcW w:w="128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政府投资+企业自筹</w:t>
            </w:r>
          </w:p>
        </w:tc>
        <w:tc>
          <w:tcPr>
            <w:tcW w:w="1033"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500</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300</w:t>
            </w:r>
          </w:p>
        </w:tc>
        <w:tc>
          <w:tcPr>
            <w:tcW w:w="734"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200</w:t>
            </w:r>
          </w:p>
        </w:tc>
        <w:tc>
          <w:tcPr>
            <w:tcW w:w="917" w:type="dxa"/>
            <w:tcBorders>
              <w:top w:val="nil"/>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中心城区二次供水设施设备</w:t>
            </w:r>
          </w:p>
        </w:tc>
        <w:tc>
          <w:tcPr>
            <w:tcW w:w="2000" w:type="dxa"/>
            <w:vMerge w:val="continue"/>
            <w:tcBorders>
              <w:top w:val="nil"/>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c>
          <w:tcPr>
            <w:tcW w:w="872" w:type="dxa"/>
            <w:vMerge w:val="continue"/>
            <w:tcBorders>
              <w:left w:val="single" w:color="auto" w:sz="4" w:space="0"/>
              <w:bottom w:val="single" w:color="auto" w:sz="4" w:space="0"/>
              <w:right w:val="single" w:color="auto" w:sz="4" w:space="0"/>
            </w:tcBorders>
            <w:vAlign w:val="center"/>
          </w:tcPr>
          <w:p>
            <w:pPr>
              <w:widowControl/>
              <w:spacing w:line="340" w:lineRule="exact"/>
              <w:ind w:firstLine="0" w:firstLineChars="0"/>
              <w:jc w:val="left"/>
              <w:rPr>
                <w:rFonts w:hint="default" w:ascii="Times New Roman" w:hAnsi="Times New Roman" w:eastAsia="方正仿宋_GBK" w:cs="Times New Roman"/>
                <w:kern w:val="0"/>
                <w:sz w:val="22"/>
                <w:szCs w:val="22"/>
              </w:rPr>
            </w:pPr>
          </w:p>
        </w:tc>
      </w:tr>
      <w:tr>
        <w:tblPrEx>
          <w:tblCellMar>
            <w:top w:w="0" w:type="dxa"/>
            <w:left w:w="108" w:type="dxa"/>
            <w:bottom w:w="0" w:type="dxa"/>
            <w:right w:w="108" w:type="dxa"/>
          </w:tblCellMar>
        </w:tblPrEx>
        <w:trPr>
          <w:trHeight w:val="570" w:hRule="atLeast"/>
          <w:jc w:val="center"/>
        </w:trPr>
        <w:tc>
          <w:tcPr>
            <w:tcW w:w="1019"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合计</w:t>
            </w:r>
          </w:p>
        </w:tc>
        <w:tc>
          <w:tcPr>
            <w:tcW w:w="783"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1434"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2716"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834"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1283" w:type="dxa"/>
            <w:tcBorders>
              <w:top w:val="single" w:color="auto" w:sz="4" w:space="0"/>
              <w:left w:val="nil"/>
              <w:bottom w:val="single" w:color="auto" w:sz="4" w:space="0"/>
              <w:right w:val="single" w:color="auto" w:sz="4" w:space="0"/>
            </w:tcBorders>
            <w:shd w:val="clear" w:color="auto" w:fill="auto"/>
            <w:vAlign w:val="center"/>
          </w:tcPr>
          <w:p>
            <w:pPr>
              <w:spacing w:line="340" w:lineRule="exact"/>
              <w:ind w:firstLine="0" w:firstLineChars="0"/>
              <w:jc w:val="center"/>
              <w:rPr>
                <w:rFonts w:hint="default" w:ascii="Times New Roman" w:hAnsi="Times New Roman" w:eastAsia="方正仿宋_GBK" w:cs="Times New Roman"/>
                <w:kern w:val="0"/>
                <w:sz w:val="22"/>
                <w:szCs w:val="22"/>
              </w:rPr>
            </w:pPr>
          </w:p>
        </w:tc>
        <w:tc>
          <w:tcPr>
            <w:tcW w:w="1033" w:type="dxa"/>
            <w:tcBorders>
              <w:top w:val="single" w:color="auto" w:sz="4" w:space="0"/>
              <w:left w:val="nil"/>
              <w:bottom w:val="single" w:color="auto" w:sz="4" w:space="0"/>
              <w:right w:val="single" w:color="auto" w:sz="4" w:space="0"/>
            </w:tcBorders>
            <w:shd w:val="clear" w:color="auto" w:fill="auto"/>
            <w:vAlign w:val="center"/>
          </w:tcPr>
          <w:p>
            <w:pPr>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57136</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34263</w:t>
            </w:r>
          </w:p>
        </w:tc>
        <w:tc>
          <w:tcPr>
            <w:tcW w:w="734"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916"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r>
              <w:rPr>
                <w:rFonts w:hint="default" w:ascii="Times New Roman" w:hAnsi="Times New Roman" w:eastAsia="方正仿宋_GBK" w:cs="Times New Roman"/>
                <w:kern w:val="0"/>
                <w:sz w:val="22"/>
                <w:szCs w:val="22"/>
              </w:rPr>
              <w:t>22873</w:t>
            </w:r>
          </w:p>
        </w:tc>
        <w:tc>
          <w:tcPr>
            <w:tcW w:w="917" w:type="dxa"/>
            <w:tcBorders>
              <w:top w:val="single" w:color="auto" w:sz="4" w:space="0"/>
              <w:left w:val="nil"/>
              <w:bottom w:val="single" w:color="auto" w:sz="4" w:space="0"/>
              <w:right w:val="single" w:color="auto" w:sz="4" w:space="0"/>
            </w:tcBorders>
            <w:shd w:val="clear" w:color="auto" w:fill="auto"/>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2000"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c>
          <w:tcPr>
            <w:tcW w:w="872" w:type="dxa"/>
            <w:tcBorders>
              <w:top w:val="single" w:color="auto" w:sz="4" w:space="0"/>
              <w:left w:val="single" w:color="auto" w:sz="4" w:space="0"/>
              <w:bottom w:val="single" w:color="auto" w:sz="4" w:space="0"/>
              <w:right w:val="single" w:color="auto" w:sz="4" w:space="0"/>
            </w:tcBorders>
            <w:vAlign w:val="center"/>
          </w:tcPr>
          <w:p>
            <w:pPr>
              <w:widowControl/>
              <w:spacing w:line="340" w:lineRule="exact"/>
              <w:ind w:firstLine="0" w:firstLineChars="0"/>
              <w:jc w:val="center"/>
              <w:rPr>
                <w:rFonts w:hint="default" w:ascii="Times New Roman" w:hAnsi="Times New Roman" w:eastAsia="方正仿宋_GBK" w:cs="Times New Roman"/>
                <w:kern w:val="0"/>
                <w:sz w:val="22"/>
                <w:szCs w:val="22"/>
              </w:rPr>
            </w:pPr>
          </w:p>
        </w:tc>
      </w:tr>
    </w:tbl>
    <w:p>
      <w:pPr>
        <w:spacing w:line="560" w:lineRule="exact"/>
        <w:ind w:firstLine="0" w:firstLineChars="0"/>
        <w:jc w:val="left"/>
        <w:rPr>
          <w:rFonts w:hint="default" w:ascii="Times New Roman" w:hAnsi="Times New Roman" w:eastAsia="仿宋" w:cs="Times New Roman"/>
          <w:szCs w:val="28"/>
        </w:rPr>
      </w:pPr>
    </w:p>
    <w:p>
      <w:pPr>
        <w:rPr>
          <w:rFonts w:hint="default" w:ascii="Times New Roman" w:hAnsi="Times New Roman" w:cs="Times New Roman"/>
        </w:rPr>
        <w:sectPr>
          <w:pgSz w:w="16839" w:h="11907" w:orient="landscape"/>
          <w:pgMar w:top="1587" w:right="2098" w:bottom="1474" w:left="1984" w:header="510" w:footer="397" w:gutter="0"/>
          <w:pgNumType w:fmt="decimal"/>
          <w:cols w:space="0" w:num="1"/>
          <w:rtlGutter w:val="0"/>
          <w:docGrid w:type="linesAndChars" w:linePitch="384" w:charSpace="0"/>
        </w:sect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left="0" w:leftChars="0" w:firstLine="0" w:firstLineChars="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autoSpaceDE w:val="0"/>
        <w:spacing w:line="560" w:lineRule="exact"/>
        <w:ind w:firstLine="280" w:firstLineChars="100"/>
        <w:rPr>
          <w:rFonts w:hint="default" w:ascii="Times New Roman" w:hAnsi="Times New Roman" w:eastAsia="方正仿宋_GBK" w:cs="Times New Roman"/>
          <w:sz w:val="28"/>
          <w:szCs w:val="28"/>
        </w:rPr>
      </w:pPr>
    </w:p>
    <w:p>
      <w:pPr>
        <w:pStyle w:val="2"/>
        <w:keepNext/>
        <w:keepLines/>
        <w:pageBreakBefore w:val="0"/>
        <w:widowControl/>
        <w:kinsoku/>
        <w:wordWrap/>
        <w:overflowPunct/>
        <w:topLinePunct w:val="0"/>
        <w:autoSpaceDE/>
        <w:autoSpaceDN/>
        <w:bidi w:val="0"/>
        <w:adjustRightInd/>
        <w:snapToGrid/>
        <w:spacing w:line="100" w:lineRule="exact"/>
        <w:ind w:left="0" w:leftChars="0" w:firstLine="0" w:firstLineChars="0"/>
        <w:textAlignment w:val="auto"/>
        <w:rPr>
          <w:rFonts w:hint="default"/>
        </w:rPr>
      </w:pPr>
    </w:p>
    <w:p>
      <w:pPr>
        <w:pStyle w:val="2"/>
        <w:ind w:left="0" w:leftChars="0" w:firstLine="0" w:firstLineChars="0"/>
        <w:rPr>
          <w:rFonts w:hint="default"/>
        </w:rPr>
      </w:pPr>
    </w:p>
    <w:p>
      <w:pPr>
        <w:autoSpaceDE w:val="0"/>
        <w:spacing w:line="560" w:lineRule="exact"/>
        <w:ind w:firstLine="280" w:firstLineChars="100"/>
        <w:rPr>
          <w:rFonts w:hint="default" w:ascii="Times New Roman" w:hAnsi="Times New Roman" w:cs="Times New Roma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17780</wp:posOffset>
                </wp:positionV>
                <wp:extent cx="5652135"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6521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4pt;height:0pt;width:445.05pt;z-index:251664384;mso-width-relative:page;mso-height-relative:page;" filled="f" stroked="t" coordsize="21600,21600" o:gfxdata="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MxdtIAAAAEAQAADwAAAAAAAAABACAAAAAiAAAAZHJzL2Rvd25yZXYueG1sUEsBAhQAFAAA&#10;AAgAh07iQCMvD771AQAA5gMAAA4AAAAAAAAAAQAgAAAAIQ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5408" behindDoc="0" locked="0" layoutInCell="1" allowOverlap="1">
                <wp:simplePos x="0" y="0"/>
                <wp:positionH relativeFrom="column">
                  <wp:posOffset>3810</wp:posOffset>
                </wp:positionH>
                <wp:positionV relativeFrom="paragraph">
                  <wp:posOffset>351790</wp:posOffset>
                </wp:positionV>
                <wp:extent cx="5652135"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3pt;margin-top:27.7pt;height:0pt;width:445.05pt;z-index:251665408;mso-width-relative:page;mso-height-relative:page;" filled="f" stroked="t" coordsize="21600,21600" o:gfxdata="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LyQCnVAAAABgEAAA8AAAAAAAAAAQAgAAAAIgAAAGRycy9kb3ducmV2LnhtbFBLAQIU&#10;ABQAAAAIAIdO4kDmzh/o9gEAAOcDAAAOAAAAAAAAAAEAIAAAACQBAABkcnMvZTJvRG9jLnhtbFBL&#10;BQYAAAAABgAGAFkBAACM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default" w:ascii="Times New Roman" w:hAnsi="Times New Roman" w:cs="Times New Roman"/>
          <w:sz w:val="28"/>
          <w:szCs w:val="28"/>
          <w:lang w:val="en-US" w:eastAsia="zh-CN"/>
        </w:rPr>
        <w:t>1</w:t>
      </w:r>
      <w:r>
        <w:rPr>
          <w:rFonts w:hint="default" w:ascii="Times New Roman" w:hAnsi="Times New Roman" w:eastAsia="方正仿宋_GBK" w:cs="Times New Roman"/>
          <w:sz w:val="28"/>
          <w:szCs w:val="28"/>
        </w:rPr>
        <w:t>年</w:t>
      </w:r>
      <w:r>
        <w:rPr>
          <w:rFonts w:hint="default" w:ascii="Times New Roman" w:hAnsi="Times New Roman" w:cs="Times New Roman"/>
          <w:sz w:val="28"/>
          <w:szCs w:val="28"/>
          <w:lang w:val="en-US" w:eastAsia="zh-CN"/>
        </w:rPr>
        <w:t>11</w:t>
      </w:r>
      <w:r>
        <w:rPr>
          <w:rFonts w:hint="default" w:ascii="Times New Roman" w:hAnsi="Times New Roman" w:eastAsia="方正仿宋_GBK" w:cs="Times New Roman"/>
          <w:sz w:val="28"/>
          <w:szCs w:val="28"/>
        </w:rPr>
        <w:t>月</w:t>
      </w:r>
      <w:r>
        <w:rPr>
          <w:rFonts w:hint="eastAsia" w:cs="Times New Roman"/>
          <w:sz w:val="28"/>
          <w:szCs w:val="28"/>
          <w:lang w:val="en-US" w:eastAsia="zh-CN"/>
        </w:rPr>
        <w:t>24</w:t>
      </w:r>
      <w:r>
        <w:rPr>
          <w:rFonts w:hint="default" w:ascii="Times New Roman" w:hAnsi="Times New Roman" w:eastAsia="方正仿宋_GBK" w:cs="Times New Roman"/>
          <w:sz w:val="28"/>
          <w:szCs w:val="28"/>
        </w:rPr>
        <w:t>日印发</w:t>
      </w:r>
    </w:p>
    <w:sectPr>
      <w:footerReference r:id="rId9" w:type="default"/>
      <w:footerReference r:id="rId10" w:type="even"/>
      <w:pgSz w:w="11905" w:h="16838"/>
      <w:pgMar w:top="2098" w:right="1474" w:bottom="1984" w:left="1588" w:header="1418" w:footer="1418" w:gutter="0"/>
      <w:cols w:space="720" w:num="1"/>
      <w:docGrid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69" w:rightChars="96" w:firstLine="0"/>
      <w:jc w:val="right"/>
      <w:rPr>
        <w:rFonts w:hint="eastAsia"/>
        <w:sz w:val="28"/>
        <w:szCs w:val="28"/>
      </w:rPr>
    </w:pPr>
  </w:p>
  <w:p>
    <w:pPr>
      <w:pStyle w:val="7"/>
      <w:ind w:right="269" w:rightChars="96" w:firstLine="0"/>
      <w:jc w:val="right"/>
      <w:rPr>
        <w:rFonts w:hint="eastAsia"/>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wordWrap w:val="0"/>
                            <w:ind w:right="269" w:rightChars="96" w:firstLine="0"/>
                            <w:jc w:val="right"/>
                            <w:rPr>
                              <w:rFonts w:hint="eastAsia" w:eastAsia="宋体"/>
                              <w:lang w:val="en-US" w:eastAsia="zh-CN"/>
                            </w:rPr>
                          </w:pPr>
                          <w:r>
                            <w:rPr>
                              <w:rFonts w:hint="eastAsia"/>
                              <w:sz w:val="28"/>
                              <w:szCs w:val="28"/>
                            </w:rPr>
                            <w:t>—</w:t>
                          </w:r>
                          <w:r>
                            <w:rPr>
                              <w:rFonts w:hint="eastAsia"/>
                              <w:sz w:val="28"/>
                              <w:szCs w:val="28"/>
                              <w:lang w:val="en-US" w:eastAsia="zh-CN"/>
                            </w:rPr>
                            <w:t xml:space="preserve"> </w:t>
                          </w:r>
                          <w:r>
                            <w:rPr>
                              <w:sz w:val="28"/>
                              <w:szCs w:val="28"/>
                            </w:rPr>
                            <w:fldChar w:fldCharType="begin"/>
                          </w:r>
                          <w:r>
                            <w:rPr>
                              <w:rStyle w:val="15"/>
                              <w:sz w:val="28"/>
                              <w:szCs w:val="28"/>
                            </w:rPr>
                            <w:instrText xml:space="preserve"> PAGE </w:instrText>
                          </w:r>
                          <w:r>
                            <w:rPr>
                              <w:sz w:val="28"/>
                              <w:szCs w:val="28"/>
                            </w:rPr>
                            <w:fldChar w:fldCharType="separate"/>
                          </w:r>
                          <w:r>
                            <w:rPr>
                              <w:rStyle w:val="15"/>
                              <w:sz w:val="28"/>
                              <w:szCs w:val="28"/>
                            </w:rPr>
                            <w:t>1</w:t>
                          </w:r>
                          <w:r>
                            <w:rPr>
                              <w:sz w:val="28"/>
                              <w:szCs w:val="28"/>
                            </w:rPr>
                            <w:fldChar w:fldCharType="end"/>
                          </w:r>
                          <w:r>
                            <w:rPr>
                              <w:rFonts w:hint="eastAsia"/>
                              <w:sz w:val="28"/>
                              <w:szCs w:val="28"/>
                              <w:lang w:val="en-US" w:eastAsia="zh-CN"/>
                            </w:rPr>
                            <w:t xml:space="preserve"> </w:t>
                          </w:r>
                          <w:r>
                            <w:rPr>
                              <w:rStyle w:val="15"/>
                              <w:rFonts w:hint="eastAsia"/>
                              <w:sz w:val="28"/>
                              <w:szCs w:val="28"/>
                            </w:rPr>
                            <w:t>—</w:t>
                          </w:r>
                          <w:r>
                            <w:rPr>
                              <w:rStyle w:val="15"/>
                              <w:rFonts w:hint="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wordWrap w:val="0"/>
                      <w:ind w:right="269" w:rightChars="96" w:firstLine="0"/>
                      <w:jc w:val="right"/>
                      <w:rPr>
                        <w:rFonts w:hint="eastAsia" w:eastAsia="宋体"/>
                        <w:lang w:val="en-US" w:eastAsia="zh-CN"/>
                      </w:rPr>
                    </w:pPr>
                    <w:r>
                      <w:rPr>
                        <w:rFonts w:hint="eastAsia"/>
                        <w:sz w:val="28"/>
                        <w:szCs w:val="28"/>
                      </w:rPr>
                      <w:t>—</w:t>
                    </w:r>
                    <w:r>
                      <w:rPr>
                        <w:rFonts w:hint="eastAsia"/>
                        <w:sz w:val="28"/>
                        <w:szCs w:val="28"/>
                        <w:lang w:val="en-US" w:eastAsia="zh-CN"/>
                      </w:rPr>
                      <w:t xml:space="preserve"> </w:t>
                    </w:r>
                    <w:r>
                      <w:rPr>
                        <w:sz w:val="28"/>
                        <w:szCs w:val="28"/>
                      </w:rPr>
                      <w:fldChar w:fldCharType="begin"/>
                    </w:r>
                    <w:r>
                      <w:rPr>
                        <w:rStyle w:val="15"/>
                        <w:sz w:val="28"/>
                        <w:szCs w:val="28"/>
                      </w:rPr>
                      <w:instrText xml:space="preserve"> PAGE </w:instrText>
                    </w:r>
                    <w:r>
                      <w:rPr>
                        <w:sz w:val="28"/>
                        <w:szCs w:val="28"/>
                      </w:rPr>
                      <w:fldChar w:fldCharType="separate"/>
                    </w:r>
                    <w:r>
                      <w:rPr>
                        <w:rStyle w:val="15"/>
                        <w:sz w:val="28"/>
                        <w:szCs w:val="28"/>
                      </w:rPr>
                      <w:t>1</w:t>
                    </w:r>
                    <w:r>
                      <w:rPr>
                        <w:sz w:val="28"/>
                        <w:szCs w:val="28"/>
                      </w:rPr>
                      <w:fldChar w:fldCharType="end"/>
                    </w:r>
                    <w:r>
                      <w:rPr>
                        <w:rFonts w:hint="eastAsia"/>
                        <w:sz w:val="28"/>
                        <w:szCs w:val="28"/>
                        <w:lang w:val="en-US" w:eastAsia="zh-CN"/>
                      </w:rPr>
                      <w:t xml:space="preserve"> </w:t>
                    </w:r>
                    <w:r>
                      <w:rPr>
                        <w:rStyle w:val="15"/>
                        <w:rFonts w:hint="eastAsia"/>
                        <w:sz w:val="28"/>
                        <w:szCs w:val="28"/>
                      </w:rPr>
                      <w:t>—</w:t>
                    </w:r>
                    <w:r>
                      <w:rPr>
                        <w:rStyle w:val="15"/>
                        <w:rFonts w:hint="eastAsia"/>
                        <w:sz w:val="28"/>
                        <w:szCs w:val="28"/>
                        <w:lang w:val="en-US" w:eastAsia="zh-CN"/>
                      </w:rPr>
                      <w:t xml:space="preserve"> </w:t>
                    </w:r>
                  </w:p>
                </w:txbxContent>
              </v:textbox>
            </v:shape>
          </w:pict>
        </mc:Fallback>
      </mc:AlternateContent>
    </w:r>
  </w:p>
  <w:p>
    <w:pPr>
      <w:pStyle w:val="7"/>
      <w:spacing w:after="120"/>
      <w:ind w:firstLine="360"/>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440"/>
      <w:rPr>
        <w:sz w:val="22"/>
      </w:rPr>
    </w:pPr>
  </w:p>
  <w:p>
    <w:pPr>
      <w:pStyle w:val="7"/>
      <w:ind w:right="269" w:rightChars="96" w:firstLine="0"/>
      <w:jc w:val="right"/>
      <w:rPr>
        <w:rFonts w:hint="eastAsia"/>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wordWrap w:val="0"/>
                            <w:ind w:right="269" w:rightChars="96" w:firstLine="0"/>
                            <w:jc w:val="right"/>
                            <w:rPr>
                              <w:rFonts w:hint="eastAsia" w:eastAsia="宋体"/>
                              <w:lang w:val="en-US" w:eastAsia="zh-CN"/>
                            </w:rPr>
                          </w:pPr>
                          <w:r>
                            <w:rPr>
                              <w:rFonts w:hint="eastAsia"/>
                              <w:sz w:val="28"/>
                              <w:szCs w:val="28"/>
                            </w:rPr>
                            <w:t>—</w:t>
                          </w:r>
                          <w:r>
                            <w:rPr>
                              <w:rFonts w:hint="eastAsia"/>
                              <w:sz w:val="28"/>
                              <w:szCs w:val="28"/>
                              <w:lang w:val="en-US" w:eastAsia="zh-CN"/>
                            </w:rPr>
                            <w:t xml:space="preserve"> </w:t>
                          </w:r>
                          <w:r>
                            <w:rPr>
                              <w:sz w:val="28"/>
                              <w:szCs w:val="28"/>
                            </w:rPr>
                            <w:fldChar w:fldCharType="begin"/>
                          </w:r>
                          <w:r>
                            <w:rPr>
                              <w:rStyle w:val="15"/>
                              <w:sz w:val="28"/>
                              <w:szCs w:val="28"/>
                            </w:rPr>
                            <w:instrText xml:space="preserve"> PAGE </w:instrText>
                          </w:r>
                          <w:r>
                            <w:rPr>
                              <w:sz w:val="28"/>
                              <w:szCs w:val="28"/>
                            </w:rPr>
                            <w:fldChar w:fldCharType="separate"/>
                          </w:r>
                          <w:r>
                            <w:rPr>
                              <w:rStyle w:val="15"/>
                              <w:sz w:val="28"/>
                              <w:szCs w:val="28"/>
                            </w:rPr>
                            <w:t>1</w:t>
                          </w:r>
                          <w:r>
                            <w:rPr>
                              <w:sz w:val="28"/>
                              <w:szCs w:val="28"/>
                            </w:rPr>
                            <w:fldChar w:fldCharType="end"/>
                          </w:r>
                          <w:r>
                            <w:rPr>
                              <w:rFonts w:hint="eastAsia"/>
                              <w:sz w:val="28"/>
                              <w:szCs w:val="28"/>
                              <w:lang w:val="en-US" w:eastAsia="zh-CN"/>
                            </w:rPr>
                            <w:t xml:space="preserve"> </w:t>
                          </w:r>
                          <w:r>
                            <w:rPr>
                              <w:rStyle w:val="15"/>
                              <w:rFonts w:hint="eastAsia"/>
                              <w:sz w:val="28"/>
                              <w:szCs w:val="28"/>
                            </w:rPr>
                            <w:t>—</w:t>
                          </w:r>
                          <w:r>
                            <w:rPr>
                              <w:rStyle w:val="15"/>
                              <w:rFonts w:hint="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wordWrap w:val="0"/>
                      <w:ind w:right="269" w:rightChars="96" w:firstLine="0"/>
                      <w:jc w:val="right"/>
                      <w:rPr>
                        <w:rFonts w:hint="eastAsia" w:eastAsia="宋体"/>
                        <w:lang w:val="en-US" w:eastAsia="zh-CN"/>
                      </w:rPr>
                    </w:pPr>
                    <w:r>
                      <w:rPr>
                        <w:rFonts w:hint="eastAsia"/>
                        <w:sz w:val="28"/>
                        <w:szCs w:val="28"/>
                      </w:rPr>
                      <w:t>—</w:t>
                    </w:r>
                    <w:r>
                      <w:rPr>
                        <w:rFonts w:hint="eastAsia"/>
                        <w:sz w:val="28"/>
                        <w:szCs w:val="28"/>
                        <w:lang w:val="en-US" w:eastAsia="zh-CN"/>
                      </w:rPr>
                      <w:t xml:space="preserve"> </w:t>
                    </w:r>
                    <w:r>
                      <w:rPr>
                        <w:sz w:val="28"/>
                        <w:szCs w:val="28"/>
                      </w:rPr>
                      <w:fldChar w:fldCharType="begin"/>
                    </w:r>
                    <w:r>
                      <w:rPr>
                        <w:rStyle w:val="15"/>
                        <w:sz w:val="28"/>
                        <w:szCs w:val="28"/>
                      </w:rPr>
                      <w:instrText xml:space="preserve"> PAGE </w:instrText>
                    </w:r>
                    <w:r>
                      <w:rPr>
                        <w:sz w:val="28"/>
                        <w:szCs w:val="28"/>
                      </w:rPr>
                      <w:fldChar w:fldCharType="separate"/>
                    </w:r>
                    <w:r>
                      <w:rPr>
                        <w:rStyle w:val="15"/>
                        <w:sz w:val="28"/>
                        <w:szCs w:val="28"/>
                      </w:rPr>
                      <w:t>1</w:t>
                    </w:r>
                    <w:r>
                      <w:rPr>
                        <w:sz w:val="28"/>
                        <w:szCs w:val="28"/>
                      </w:rPr>
                      <w:fldChar w:fldCharType="end"/>
                    </w:r>
                    <w:r>
                      <w:rPr>
                        <w:rFonts w:hint="eastAsia"/>
                        <w:sz w:val="28"/>
                        <w:szCs w:val="28"/>
                        <w:lang w:val="en-US" w:eastAsia="zh-CN"/>
                      </w:rPr>
                      <w:t xml:space="preserve"> </w:t>
                    </w:r>
                    <w:r>
                      <w:rPr>
                        <w:rStyle w:val="15"/>
                        <w:rFonts w:hint="eastAsia"/>
                        <w:sz w:val="28"/>
                        <w:szCs w:val="28"/>
                      </w:rPr>
                      <w:t>—</w:t>
                    </w:r>
                    <w:r>
                      <w:rPr>
                        <w:rStyle w:val="15"/>
                        <w:rFonts w:hint="eastAsia"/>
                        <w:sz w:val="28"/>
                        <w:szCs w:val="28"/>
                        <w:lang w:val="en-US" w:eastAsia="zh-CN"/>
                      </w:rPr>
                      <w:t xml:space="preserve"> </w:t>
                    </w:r>
                  </w:p>
                </w:txbxContent>
              </v:textbox>
            </v:shape>
          </w:pict>
        </mc:Fallback>
      </mc:AlternateContent>
    </w:r>
  </w:p>
  <w:p>
    <w:pPr>
      <w:pStyle w:val="7"/>
      <w:spacing w:after="120"/>
      <w:ind w:firstLine="360"/>
      <w:jc w:val="both"/>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343535" cy="196850"/>
              <wp:effectExtent l="0" t="0" r="0" b="0"/>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343535" cy="196850"/>
                      </a:xfrm>
                      <a:prstGeom prst="rect">
                        <a:avLst/>
                      </a:prstGeom>
                      <a:noFill/>
                      <a:ln>
                        <a:noFill/>
                      </a:ln>
                    </wps:spPr>
                    <wps:txbx>
                      <w:txbxContent>
                        <w:p>
                          <w:pPr>
                            <w:pStyle w:val="7"/>
                            <w:ind w:firstLine="360"/>
                          </w:pP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5.5pt;width:27.05pt;mso-position-horizontal:left;mso-position-horizontal-relative:margin;mso-wrap-style:none;z-index:251659264;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dqOul0QAAAAMBAAAPAAAAAAAAAAEAIAAAACIAAABkcnMvZG93bnJldi54bWxQSwEC&#10;FAAUAAAACACHTuJAHKrxqvsBAAABBAAADgAAAAAAAAABACAAAAAgAQAAZHJzL2Uyb0RvYy54bWxQ&#10;SwUGAAAAAAYABgBZAQAAjQUAAAAA&#10;">
              <v:fill on="f" focussize="0,0"/>
              <v:stroke on="f"/>
              <v:imagedata o:title=""/>
              <o:lock v:ext="edit" aspectratio="f"/>
              <v:textbox inset="0mm,0mm,0mm,0mm" style="mso-fit-shape-to-text:t;">
                <w:txbxContent>
                  <w:p>
                    <w:pPr>
                      <w:pStyle w:val="7"/>
                      <w:ind w:firstLine="360"/>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rPr>
        <w:sz w:val="22"/>
      </w:rPr>
    </w:pPr>
    <w:r>
      <w:rPr>
        <w:rFonts w:hint="eastAsia"/>
        <w:sz w:val="28"/>
        <w:szCs w:val="28"/>
      </w:rPr>
      <w:t>—</w:t>
    </w:r>
    <w:r>
      <w:rPr>
        <w:rFonts w:hint="eastAsia"/>
        <w:sz w:val="28"/>
        <w:szCs w:val="28"/>
        <w:lang w:val="en-US" w:eastAsia="zh-CN"/>
      </w:rPr>
      <w:t xml:space="preserve"> </w:t>
    </w:r>
    <w:r>
      <w:rPr>
        <w:sz w:val="28"/>
        <w:szCs w:val="28"/>
      </w:rPr>
      <w:fldChar w:fldCharType="begin"/>
    </w:r>
    <w:r>
      <w:rPr>
        <w:rStyle w:val="15"/>
        <w:sz w:val="28"/>
        <w:szCs w:val="28"/>
      </w:rPr>
      <w:instrText xml:space="preserve"> PAGE </w:instrText>
    </w:r>
    <w:r>
      <w:rPr>
        <w:sz w:val="28"/>
        <w:szCs w:val="28"/>
      </w:rPr>
      <w:fldChar w:fldCharType="separate"/>
    </w:r>
    <w:r>
      <w:rPr>
        <w:rStyle w:val="15"/>
        <w:sz w:val="28"/>
        <w:szCs w:val="28"/>
      </w:rPr>
      <w:t>1</w:t>
    </w:r>
    <w:r>
      <w:rPr>
        <w:sz w:val="28"/>
        <w:szCs w:val="28"/>
      </w:rPr>
      <w:fldChar w:fldCharType="end"/>
    </w:r>
    <w:r>
      <w:rPr>
        <w:rFonts w:hint="eastAsia"/>
        <w:sz w:val="28"/>
        <w:szCs w:val="28"/>
        <w:lang w:val="en-US" w:eastAsia="zh-CN"/>
      </w:rPr>
      <w:t xml:space="preserve"> </w:t>
    </w:r>
    <w:r>
      <w:rPr>
        <w:rStyle w:val="15"/>
        <w:rFonts w:hint="eastAsia"/>
        <w:sz w:val="28"/>
        <w:szCs w:val="28"/>
      </w:rPr>
      <w:t>—</w:t>
    </w:r>
  </w:p>
  <w:p>
    <w:pPr>
      <w:pStyle w:val="7"/>
      <w:spacing w:after="120"/>
      <w:ind w:firstLine="360"/>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69" w:rightChars="96" w:firstLine="0"/>
      <w:jc w:val="right"/>
      <w:rPr>
        <w:rFonts w:hint="eastAsia"/>
        <w:sz w:val="28"/>
        <w:szCs w:val="28"/>
      </w:rPr>
    </w:pPr>
    <w:r>
      <w:rPr>
        <w:rFonts w:hint="eastAsia"/>
        <w:sz w:val="28"/>
        <w:szCs w:val="28"/>
      </w:rPr>
      <w:t>—</w:t>
    </w:r>
    <w:r>
      <w:rPr>
        <w:rFonts w:hint="eastAsia"/>
        <w:sz w:val="28"/>
        <w:szCs w:val="28"/>
        <w:lang w:val="en-US" w:eastAsia="zh-CN"/>
      </w:rPr>
      <w:t xml:space="preserve"> </w:t>
    </w:r>
    <w:r>
      <w:rPr>
        <w:sz w:val="28"/>
        <w:szCs w:val="28"/>
      </w:rPr>
      <w:fldChar w:fldCharType="begin"/>
    </w:r>
    <w:r>
      <w:rPr>
        <w:rStyle w:val="15"/>
        <w:sz w:val="28"/>
        <w:szCs w:val="28"/>
      </w:rPr>
      <w:instrText xml:space="preserve"> PAGE </w:instrText>
    </w:r>
    <w:r>
      <w:rPr>
        <w:sz w:val="28"/>
        <w:szCs w:val="28"/>
      </w:rPr>
      <w:fldChar w:fldCharType="separate"/>
    </w:r>
    <w:r>
      <w:rPr>
        <w:rStyle w:val="15"/>
        <w:sz w:val="28"/>
        <w:szCs w:val="28"/>
      </w:rPr>
      <w:t>1</w:t>
    </w:r>
    <w:r>
      <w:rPr>
        <w:sz w:val="28"/>
        <w:szCs w:val="28"/>
      </w:rPr>
      <w:fldChar w:fldCharType="end"/>
    </w:r>
    <w:r>
      <w:rPr>
        <w:rFonts w:hint="eastAsia"/>
        <w:sz w:val="28"/>
        <w:szCs w:val="28"/>
        <w:lang w:val="en-US" w:eastAsia="zh-CN"/>
      </w:rPr>
      <w:t xml:space="preserve"> </w:t>
    </w:r>
    <w:r>
      <w:rPr>
        <w:rStyle w:val="15"/>
        <w:rFonts w:hint="eastAsia"/>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1" w:firstLine="0"/>
      <w:rPr>
        <w:rFonts w:hint="eastAsia" w:eastAsia="宋体"/>
        <w:sz w:val="28"/>
        <w:szCs w:val="28"/>
      </w:rPr>
    </w:pPr>
    <w:r>
      <w:rPr>
        <w:rStyle w:val="15"/>
        <w:rFonts w:hint="eastAsia" w:eastAsia="宋体"/>
        <w:sz w:val="28"/>
        <w:szCs w:val="28"/>
      </w:rPr>
      <w:t>—</w:t>
    </w:r>
    <w:r>
      <w:rPr>
        <w:rStyle w:val="15"/>
        <w:rFonts w:hint="eastAsia" w:eastAsia="宋体"/>
        <w:sz w:val="28"/>
        <w:szCs w:val="28"/>
        <w:lang w:val="en-US" w:eastAsia="zh-CN"/>
      </w:rPr>
      <w:t xml:space="preserve"> </w:t>
    </w:r>
    <w:r>
      <w:rPr>
        <w:rFonts w:eastAsia="宋体"/>
        <w:sz w:val="28"/>
        <w:szCs w:val="28"/>
      </w:rPr>
      <w:fldChar w:fldCharType="begin"/>
    </w:r>
    <w:r>
      <w:rPr>
        <w:rStyle w:val="15"/>
        <w:rFonts w:eastAsia="宋体"/>
        <w:sz w:val="28"/>
        <w:szCs w:val="28"/>
      </w:rPr>
      <w:instrText xml:space="preserve"> PAGE </w:instrText>
    </w:r>
    <w:r>
      <w:rPr>
        <w:rFonts w:eastAsia="宋体"/>
        <w:sz w:val="28"/>
        <w:szCs w:val="28"/>
      </w:rPr>
      <w:fldChar w:fldCharType="separate"/>
    </w:r>
    <w:r>
      <w:rPr>
        <w:rStyle w:val="15"/>
        <w:rFonts w:eastAsia="宋体"/>
        <w:sz w:val="28"/>
        <w:szCs w:val="28"/>
      </w:rPr>
      <w:t>2</w:t>
    </w:r>
    <w:r>
      <w:rPr>
        <w:rFonts w:eastAsia="宋体"/>
        <w:sz w:val="28"/>
        <w:szCs w:val="28"/>
      </w:rPr>
      <w:fldChar w:fldCharType="end"/>
    </w:r>
    <w:r>
      <w:rPr>
        <w:rFonts w:hint="eastAsia" w:eastAsia="宋体"/>
        <w:sz w:val="28"/>
        <w:szCs w:val="28"/>
        <w:lang w:val="en-US" w:eastAsia="zh-CN"/>
      </w:rPr>
      <w:t xml:space="preserve"> </w:t>
    </w:r>
    <w:r>
      <w:rPr>
        <w:rStyle w:val="15"/>
        <w:rFonts w:hint="eastAsia" w:eastAsia="宋体"/>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4124CD"/>
    <w:multiLevelType w:val="singleLevel"/>
    <w:tmpl w:val="624124CD"/>
    <w:lvl w:ilvl="0" w:tentative="0">
      <w:start w:val="1"/>
      <w:numFmt w:val="decimal"/>
      <w:suff w:val="space"/>
      <w:lvlText w:val="%1."/>
      <w:lvlJc w:val="left"/>
    </w:lvl>
  </w:abstractNum>
  <w:abstractNum w:abstractNumId="1">
    <w:nsid w:val="716C5146"/>
    <w:multiLevelType w:val="singleLevel"/>
    <w:tmpl w:val="716C5146"/>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6B1400"/>
    <w:rsid w:val="06DB63E1"/>
    <w:rsid w:val="0D3F3A0E"/>
    <w:rsid w:val="0E24554D"/>
    <w:rsid w:val="10607461"/>
    <w:rsid w:val="135A334F"/>
    <w:rsid w:val="16914AB9"/>
    <w:rsid w:val="290C6110"/>
    <w:rsid w:val="2A221A6E"/>
    <w:rsid w:val="2E597DD5"/>
    <w:rsid w:val="394D7279"/>
    <w:rsid w:val="396B1400"/>
    <w:rsid w:val="39FC72F7"/>
    <w:rsid w:val="3B8B19D4"/>
    <w:rsid w:val="42FA68C6"/>
    <w:rsid w:val="43C7383A"/>
    <w:rsid w:val="443B31B7"/>
    <w:rsid w:val="45340525"/>
    <w:rsid w:val="47FD5DF2"/>
    <w:rsid w:val="67614957"/>
    <w:rsid w:val="69CB5678"/>
    <w:rsid w:val="6F265009"/>
    <w:rsid w:val="70792DA8"/>
    <w:rsid w:val="718F5076"/>
    <w:rsid w:val="71E601F6"/>
    <w:rsid w:val="7BE75F0F"/>
    <w:rsid w:val="7CBF3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styleId="4">
    <w:name w:val="heading 1"/>
    <w:basedOn w:val="1"/>
    <w:next w:val="1"/>
    <w:qFormat/>
    <w:uiPriority w:val="0"/>
    <w:pPr>
      <w:keepNext/>
      <w:keepLines/>
      <w:spacing w:before="40" w:after="40"/>
      <w:ind w:left="426" w:firstLine="0" w:firstLineChars="0"/>
      <w:jc w:val="center"/>
      <w:outlineLvl w:val="0"/>
    </w:pPr>
    <w:rPr>
      <w:rFonts w:eastAsia="黑体"/>
      <w:b/>
      <w:bCs/>
      <w:kern w:val="44"/>
      <w:sz w:val="30"/>
      <w:szCs w:val="44"/>
    </w:rPr>
  </w:style>
  <w:style w:type="paragraph" w:styleId="3">
    <w:name w:val="heading 2"/>
    <w:basedOn w:val="1"/>
    <w:next w:val="1"/>
    <w:qFormat/>
    <w:uiPriority w:val="0"/>
    <w:pPr>
      <w:keepNext/>
      <w:keepLines/>
      <w:widowControl/>
      <w:spacing w:before="20" w:after="20"/>
      <w:ind w:left="426" w:firstLine="0" w:firstLineChars="0"/>
      <w:jc w:val="left"/>
      <w:outlineLvl w:val="1"/>
    </w:pPr>
    <w:rPr>
      <w:rFonts w:ascii="Arial" w:hAnsi="Arial"/>
      <w:b/>
      <w:kern w:val="0"/>
      <w:szCs w:val="20"/>
    </w:rPr>
  </w:style>
  <w:style w:type="paragraph" w:styleId="2">
    <w:name w:val="heading 4"/>
    <w:basedOn w:val="3"/>
    <w:next w:val="1"/>
    <w:qFormat/>
    <w:uiPriority w:val="0"/>
    <w:pPr>
      <w:spacing w:before="280" w:after="290" w:line="376" w:lineRule="auto"/>
      <w:outlineLvl w:val="3"/>
    </w:pPr>
    <w:rPr>
      <w:rFonts w:eastAsia="黑体"/>
      <w:bCs/>
      <w:szCs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6">
    <w:name w:val="Body Text Indent"/>
    <w:basedOn w:val="1"/>
    <w:qFormat/>
    <w:uiPriority w:val="0"/>
    <w:pPr>
      <w:ind w:firstLine="56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tabs>
        <w:tab w:val="center" w:pos="4153"/>
        <w:tab w:val="right" w:pos="8306"/>
      </w:tabs>
      <w:snapToGrid w:val="0"/>
      <w:jc w:val="center"/>
    </w:pPr>
    <w:rPr>
      <w:sz w:val="18"/>
      <w:szCs w:val="18"/>
    </w:rPr>
  </w:style>
  <w:style w:type="paragraph" w:styleId="9">
    <w:name w:val="toc 1"/>
    <w:basedOn w:val="1"/>
    <w:next w:val="1"/>
    <w:qFormat/>
    <w:uiPriority w:val="39"/>
    <w:pPr>
      <w:spacing w:before="60" w:after="60"/>
      <w:ind w:firstLine="0" w:firstLineChars="0"/>
      <w:jc w:val="left"/>
    </w:pPr>
    <w:rPr>
      <w:rFonts w:ascii="Calibri" w:hAnsi="Calibri"/>
      <w:b/>
      <w:bCs/>
      <w:caps/>
      <w:szCs w:val="20"/>
    </w:rPr>
  </w:style>
  <w:style w:type="paragraph" w:styleId="10">
    <w:name w:val="toc 2"/>
    <w:basedOn w:val="1"/>
    <w:next w:val="1"/>
    <w:qFormat/>
    <w:uiPriority w:val="39"/>
    <w:pPr>
      <w:ind w:left="57"/>
      <w:jc w:val="left"/>
    </w:pPr>
    <w:rPr>
      <w:rFonts w:ascii="Calibri" w:hAnsi="Calibri"/>
      <w:smallCaps/>
      <w:szCs w:val="20"/>
    </w:rPr>
  </w:style>
  <w:style w:type="paragraph" w:styleId="11">
    <w:name w:val="Body Text First Indent 2"/>
    <w:basedOn w:val="6"/>
    <w:qFormat/>
    <w:uiPriority w:val="0"/>
    <w:pPr>
      <w:spacing w:line="240" w:lineRule="auto"/>
      <w:ind w:left="420" w:leftChars="200" w:firstLine="420" w:firstLineChars="200"/>
    </w:pPr>
    <w:rPr>
      <w:rFonts w:ascii="Times New Roman" w:hAnsi="Times New Roman"/>
      <w:sz w:val="21"/>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Hyperlink"/>
    <w:qFormat/>
    <w:uiPriority w:val="99"/>
    <w:rPr>
      <w:rFonts w:hint="default" w:ascii="Arial" w:hAnsi="Arial" w:cs="Arial"/>
      <w:color w:val="0000FF"/>
      <w:u w:val="single"/>
    </w:rPr>
  </w:style>
  <w:style w:type="paragraph" w:customStyle="1" w:styleId="17">
    <w:name w:val="BodyText"/>
    <w:basedOn w:val="1"/>
    <w:qFormat/>
    <w:uiPriority w:val="0"/>
    <w:pPr>
      <w:spacing w:after="120"/>
    </w:pPr>
  </w:style>
  <w:style w:type="paragraph" w:customStyle="1" w:styleId="18">
    <w:name w:val="！正文 Alt+0"/>
    <w:basedOn w:val="1"/>
    <w:qFormat/>
    <w:uiPriority w:val="0"/>
    <w:pPr>
      <w:spacing w:line="240" w:lineRule="auto"/>
    </w:pPr>
    <w:rPr>
      <w:szCs w:val="28"/>
    </w:rPr>
  </w:style>
  <w:style w:type="paragraph" w:customStyle="1" w:styleId="19">
    <w:name w:val="正文1"/>
    <w:basedOn w:val="1"/>
    <w:next w:val="1"/>
    <w:qFormat/>
    <w:uiPriority w:val="0"/>
    <w:pPr>
      <w:widowControl/>
      <w:ind w:firstLine="560"/>
      <w:jc w:val="left"/>
    </w:pPr>
    <w:rPr>
      <w:rFonts w:ascii="Calibri" w:hAnsi="Calibri" w:eastAsia="仿宋_GB2312" w:cs="宋体"/>
      <w:kern w:val="0"/>
      <w:szCs w:val="28"/>
      <w:lang w:eastAsia="en-US" w:bidi="en-US"/>
    </w:rPr>
  </w:style>
  <w:style w:type="paragraph" w:customStyle="1" w:styleId="20">
    <w:name w:val="Char Char1 Char Char"/>
    <w:basedOn w:val="1"/>
    <w:qFormat/>
    <w:uiPriority w:val="0"/>
    <w:pPr>
      <w:widowControl/>
      <w:adjustRightInd/>
      <w:spacing w:after="160" w:line="240" w:lineRule="exact"/>
      <w:ind w:firstLine="0"/>
      <w:jc w:val="left"/>
      <w:textAlignment w:val="auto"/>
    </w:pPr>
    <w:rPr>
      <w:rFonts w:ascii="方正仿宋_GBK"/>
      <w:kern w:val="2"/>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I:\01-2020&#40660;&#27743;&#24635;&#35268;&#39033;&#30446;\01%20Excel&#25968;&#25454;\&#40660;&#27743;&#21306;&#20154;&#21475;&#19982;&#22478;&#38215;&#21270;&#20998;&#265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00" b="0" i="0" u="none" strike="noStrike" kern="1200" cap="none" spc="0" normalizeH="0" baseline="0">
                <a:solidFill>
                  <a:schemeClr val="dk1">
                    <a:lumMod val="50000"/>
                    <a:lumOff val="50000"/>
                  </a:schemeClr>
                </a:solidFill>
                <a:latin typeface="微软雅黑" panose="020B0503020204020204" pitchFamily="2" charset="-122"/>
                <a:ea typeface="微软雅黑" panose="020B0503020204020204" pitchFamily="2" charset="-122"/>
                <a:cs typeface="+mj-cs"/>
              </a:defRPr>
            </a:pPr>
            <a:r>
              <a:rPr lang="zh-CN" sz="1000" b="0" dirty="0">
                <a:latin typeface="微软雅黑" panose="020B0503020204020204" pitchFamily="2" charset="-122"/>
                <a:ea typeface="微软雅黑" panose="020B0503020204020204" pitchFamily="2" charset="-122"/>
              </a:rPr>
              <a:t>黔江区常住城镇人口预测</a:t>
            </a:r>
            <a:endParaRPr lang="zh-CN" sz="1000" b="0" dirty="0">
              <a:latin typeface="微软雅黑" panose="020B0503020204020204" pitchFamily="2" charset="-122"/>
              <a:ea typeface="微软雅黑" panose="020B0503020204020204" pitchFamily="2" charset="-122"/>
            </a:endParaRPr>
          </a:p>
        </c:rich>
      </c:tx>
      <c:layout>
        <c:manualLayout>
          <c:xMode val="edge"/>
          <c:yMode val="edge"/>
          <c:x val="0.301258391072552"/>
          <c:y val="0.0359058923092716"/>
        </c:manualLayout>
      </c:layout>
      <c:overlay val="0"/>
      <c:spPr>
        <a:noFill/>
        <a:ln>
          <a:noFill/>
        </a:ln>
        <a:effectLst/>
      </c:spPr>
    </c:title>
    <c:autoTitleDeleted val="0"/>
    <c:plotArea>
      <c:layout>
        <c:manualLayout>
          <c:layoutTarget val="inner"/>
          <c:xMode val="edge"/>
          <c:yMode val="edge"/>
          <c:x val="0.0730088065790326"/>
          <c:y val="0.175890881590199"/>
          <c:w val="0.847129227913412"/>
          <c:h val="0.524769693254989"/>
        </c:manualLayout>
      </c:layout>
      <c:barChart>
        <c:barDir val="col"/>
        <c:grouping val="clustered"/>
        <c:varyColors val="0"/>
        <c:ser>
          <c:idx val="0"/>
          <c:order val="0"/>
          <c:tx>
            <c:strRef>
              <c:f>城镇人口!$B$1</c:f>
              <c:strCache>
                <c:ptCount val="1"/>
                <c:pt idx="0">
                  <c:v>城镇常住人口（万人）</c:v>
                </c:pt>
              </c:strCache>
            </c:strRef>
          </c:tx>
          <c:spPr>
            <a:solidFill>
              <a:schemeClr val="accent1"/>
            </a:solidFill>
            <a:ln>
              <a:noFill/>
            </a:ln>
            <a:effectLst/>
          </c:spPr>
          <c:invertIfNegative val="0"/>
          <c:dLbls>
            <c:delete val="1"/>
          </c:dLbls>
          <c:trendline>
            <c:spPr>
              <a:ln w="19050" cap="rnd" cmpd="sng" algn="ctr">
                <a:solidFill>
                  <a:schemeClr val="accent1"/>
                </a:solidFill>
                <a:prstDash val="solid"/>
                <a:round/>
              </a:ln>
              <a:effectLst/>
            </c:spPr>
            <c:trendlineType val="poly"/>
            <c:order val="2"/>
            <c:dispRSqr val="0"/>
            <c:dispEq val="0"/>
          </c:trendline>
          <c:cat>
            <c:strRef>
              <c:f>城镇人口!$A$2:$A$27</c:f>
              <c:strCache>
                <c:ptCount val="26"/>
                <c:pt idx="0">
                  <c:v>2010年</c:v>
                </c:pt>
                <c:pt idx="1">
                  <c:v>2011年</c:v>
                </c:pt>
                <c:pt idx="2">
                  <c:v>2012年</c:v>
                </c:pt>
                <c:pt idx="3">
                  <c:v>2013年</c:v>
                </c:pt>
                <c:pt idx="4">
                  <c:v>2014年</c:v>
                </c:pt>
                <c:pt idx="5">
                  <c:v>2015年</c:v>
                </c:pt>
                <c:pt idx="6">
                  <c:v>2016年</c:v>
                </c:pt>
                <c:pt idx="7">
                  <c:v>2017年</c:v>
                </c:pt>
                <c:pt idx="8">
                  <c:v>2018年</c:v>
                </c:pt>
                <c:pt idx="9">
                  <c:v>2019年</c:v>
                </c:pt>
                <c:pt idx="10">
                  <c:v>2020年</c:v>
                </c:pt>
                <c:pt idx="11">
                  <c:v>2021年</c:v>
                </c:pt>
                <c:pt idx="12">
                  <c:v>2022年</c:v>
                </c:pt>
                <c:pt idx="13">
                  <c:v>2023年</c:v>
                </c:pt>
                <c:pt idx="14">
                  <c:v>2024年</c:v>
                </c:pt>
                <c:pt idx="15">
                  <c:v>2025年</c:v>
                </c:pt>
                <c:pt idx="16">
                  <c:v>2026年</c:v>
                </c:pt>
                <c:pt idx="17">
                  <c:v>2027年</c:v>
                </c:pt>
                <c:pt idx="18">
                  <c:v>2028年</c:v>
                </c:pt>
                <c:pt idx="19">
                  <c:v>2029年</c:v>
                </c:pt>
                <c:pt idx="20">
                  <c:v>2030年</c:v>
                </c:pt>
                <c:pt idx="21">
                  <c:v>2031年</c:v>
                </c:pt>
                <c:pt idx="22">
                  <c:v>2032年</c:v>
                </c:pt>
                <c:pt idx="23">
                  <c:v>2033年</c:v>
                </c:pt>
                <c:pt idx="24">
                  <c:v>2034年</c:v>
                </c:pt>
                <c:pt idx="25">
                  <c:v>2035年</c:v>
                </c:pt>
              </c:strCache>
            </c:strRef>
          </c:cat>
          <c:val>
            <c:numRef>
              <c:f>城镇人口!$B$2:$B$27</c:f>
              <c:numCache>
                <c:formatCode>General</c:formatCode>
                <c:ptCount val="26"/>
                <c:pt idx="0">
                  <c:v>17.4</c:v>
                </c:pt>
                <c:pt idx="1">
                  <c:v>18.21</c:v>
                </c:pt>
                <c:pt idx="2">
                  <c:v>19.1</c:v>
                </c:pt>
                <c:pt idx="3">
                  <c:v>19.84</c:v>
                </c:pt>
                <c:pt idx="4">
                  <c:v>20.6</c:v>
                </c:pt>
                <c:pt idx="5">
                  <c:v>21.31</c:v>
                </c:pt>
                <c:pt idx="6">
                  <c:v>22.11</c:v>
                </c:pt>
                <c:pt idx="7">
                  <c:v>23.45</c:v>
                </c:pt>
                <c:pt idx="8">
                  <c:v>24.52</c:v>
                </c:pt>
                <c:pt idx="9">
                  <c:v>25.35</c:v>
                </c:pt>
              </c:numCache>
            </c:numRef>
          </c:val>
        </c:ser>
        <c:dLbls>
          <c:showLegendKey val="0"/>
          <c:showVal val="0"/>
          <c:showCatName val="0"/>
          <c:showSerName val="0"/>
          <c:showPercent val="0"/>
          <c:showBubbleSize val="0"/>
        </c:dLbls>
        <c:gapWidth val="247"/>
        <c:overlap val="-27"/>
        <c:axId val="986270800"/>
        <c:axId val="766646992"/>
      </c:barChart>
      <c:lineChart>
        <c:grouping val="standard"/>
        <c:varyColors val="0"/>
        <c:ser>
          <c:idx val="1"/>
          <c:order val="1"/>
          <c:tx>
            <c:strRef>
              <c:f>城镇人口!$C$1</c:f>
              <c:strCache>
                <c:ptCount val="1"/>
                <c:pt idx="0">
                  <c:v>增长率（%）</c:v>
                </c:pt>
              </c:strCache>
            </c:strRef>
          </c:tx>
          <c:spPr>
            <a:ln w="22225" cap="rnd" cmpd="sng" algn="ctr">
              <a:solidFill>
                <a:schemeClr val="accent2"/>
              </a:solidFill>
              <a:prstDash val="solid"/>
              <a:round/>
            </a:ln>
            <a:effectLst/>
          </c:spPr>
          <c:marker>
            <c:symbol val="none"/>
          </c:marker>
          <c:dLbls>
            <c:delete val="1"/>
          </c:dLbls>
          <c:cat>
            <c:strRef>
              <c:f>城镇人口!$A$2:$A$27</c:f>
              <c:strCache>
                <c:ptCount val="26"/>
                <c:pt idx="0">
                  <c:v>2010年</c:v>
                </c:pt>
                <c:pt idx="1">
                  <c:v>2011年</c:v>
                </c:pt>
                <c:pt idx="2">
                  <c:v>2012年</c:v>
                </c:pt>
                <c:pt idx="3">
                  <c:v>2013年</c:v>
                </c:pt>
                <c:pt idx="4">
                  <c:v>2014年</c:v>
                </c:pt>
                <c:pt idx="5">
                  <c:v>2015年</c:v>
                </c:pt>
                <c:pt idx="6">
                  <c:v>2016年</c:v>
                </c:pt>
                <c:pt idx="7">
                  <c:v>2017年</c:v>
                </c:pt>
                <c:pt idx="8">
                  <c:v>2018年</c:v>
                </c:pt>
                <c:pt idx="9">
                  <c:v>2019年</c:v>
                </c:pt>
                <c:pt idx="10">
                  <c:v>2020年</c:v>
                </c:pt>
                <c:pt idx="11">
                  <c:v>2021年</c:v>
                </c:pt>
                <c:pt idx="12">
                  <c:v>2022年</c:v>
                </c:pt>
                <c:pt idx="13">
                  <c:v>2023年</c:v>
                </c:pt>
                <c:pt idx="14">
                  <c:v>2024年</c:v>
                </c:pt>
                <c:pt idx="15">
                  <c:v>2025年</c:v>
                </c:pt>
                <c:pt idx="16">
                  <c:v>2026年</c:v>
                </c:pt>
                <c:pt idx="17">
                  <c:v>2027年</c:v>
                </c:pt>
                <c:pt idx="18">
                  <c:v>2028年</c:v>
                </c:pt>
                <c:pt idx="19">
                  <c:v>2029年</c:v>
                </c:pt>
                <c:pt idx="20">
                  <c:v>2030年</c:v>
                </c:pt>
                <c:pt idx="21">
                  <c:v>2031年</c:v>
                </c:pt>
                <c:pt idx="22">
                  <c:v>2032年</c:v>
                </c:pt>
                <c:pt idx="23">
                  <c:v>2033年</c:v>
                </c:pt>
                <c:pt idx="24">
                  <c:v>2034年</c:v>
                </c:pt>
                <c:pt idx="25">
                  <c:v>2035年</c:v>
                </c:pt>
              </c:strCache>
            </c:strRef>
          </c:cat>
          <c:val>
            <c:numRef>
              <c:f>城镇人口!$C$2:$C$27</c:f>
              <c:numCache>
                <c:formatCode>0.00_ </c:formatCode>
                <c:ptCount val="26"/>
                <c:pt idx="0">
                  <c:v>15.7684630738523</c:v>
                </c:pt>
                <c:pt idx="1">
                  <c:v>4.65517241379313</c:v>
                </c:pt>
                <c:pt idx="2">
                  <c:v>4.88742449203734</c:v>
                </c:pt>
                <c:pt idx="3">
                  <c:v>3.8743455497382</c:v>
                </c:pt>
                <c:pt idx="4">
                  <c:v>3.83064516129032</c:v>
                </c:pt>
                <c:pt idx="5">
                  <c:v>3.44660194174756</c:v>
                </c:pt>
                <c:pt idx="6">
                  <c:v>3.75410605349602</c:v>
                </c:pt>
                <c:pt idx="7">
                  <c:v>6.06060606060605</c:v>
                </c:pt>
                <c:pt idx="8">
                  <c:v>4.56289978678039</c:v>
                </c:pt>
                <c:pt idx="9">
                  <c:v>3.38499184339316</c:v>
                </c:pt>
              </c:numCache>
            </c:numRef>
          </c:val>
          <c:smooth val="0"/>
        </c:ser>
        <c:dLbls>
          <c:showLegendKey val="0"/>
          <c:showVal val="0"/>
          <c:showCatName val="0"/>
          <c:showSerName val="0"/>
          <c:showPercent val="0"/>
          <c:showBubbleSize val="0"/>
        </c:dLbls>
        <c:marker val="0"/>
        <c:smooth val="0"/>
        <c:axId val="766649232"/>
        <c:axId val="766643632"/>
      </c:lineChart>
      <c:catAx>
        <c:axId val="986270800"/>
        <c:scaling>
          <c:orientation val="minMax"/>
        </c:scaling>
        <c:delete val="0"/>
        <c:axPos val="b"/>
        <c:majorGridlines>
          <c:spPr>
            <a:ln w="9525" cap="flat" cmpd="sng" algn="ctr">
              <a:solidFill>
                <a:schemeClr val="dk1">
                  <a:lumMod val="15000"/>
                  <a:lumOff val="85000"/>
                </a:schemeClr>
              </a:solidFill>
              <a:prstDash val="solid"/>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prstDash val="solid"/>
            <a:round/>
          </a:ln>
          <a:effectLst/>
        </c:spPr>
        <c:txPr>
          <a:bodyPr rot="-60000000" spcFirstLastPara="1" vertOverflow="ellipsis" vert="horz" wrap="square" anchor="ctr" anchorCtr="1"/>
          <a:lstStyle/>
          <a:p>
            <a:pPr>
              <a:defRPr lang="zh-CN" sz="800" b="0" i="0" u="none" strike="noStrike" kern="1200" cap="none" spc="0" normalizeH="0" baseline="0">
                <a:solidFill>
                  <a:schemeClr val="dk1">
                    <a:lumMod val="65000"/>
                    <a:lumOff val="35000"/>
                  </a:schemeClr>
                </a:solidFill>
                <a:latin typeface="Times New Roman" panose="02020603050405020304" charset="0"/>
                <a:ea typeface="微软雅黑" panose="020B0503020204020204" pitchFamily="2" charset="-122"/>
                <a:cs typeface="Times New Roman" panose="02020603050405020304" charset="0"/>
              </a:defRPr>
            </a:pPr>
          </a:p>
        </c:txPr>
        <c:crossAx val="766646992"/>
        <c:crosses val="autoZero"/>
        <c:auto val="1"/>
        <c:lblAlgn val="ctr"/>
        <c:lblOffset val="100"/>
        <c:noMultiLvlLbl val="0"/>
      </c:catAx>
      <c:valAx>
        <c:axId val="766646992"/>
        <c:scaling>
          <c:orientation val="minMax"/>
        </c:scaling>
        <c:delete val="0"/>
        <c:axPos val="l"/>
        <c:majorGridlines>
          <c:spPr>
            <a:ln w="9525" cap="flat" cmpd="sng" algn="ctr">
              <a:solidFill>
                <a:schemeClr val="dk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800" b="0" i="0" u="none" strike="noStrike" kern="1200" baseline="0">
                <a:solidFill>
                  <a:schemeClr val="dk1">
                    <a:lumMod val="65000"/>
                    <a:lumOff val="35000"/>
                  </a:schemeClr>
                </a:solidFill>
                <a:latin typeface="Times New Roman" panose="02020603050405020304" charset="0"/>
                <a:ea typeface="+mn-ea"/>
                <a:cs typeface="Times New Roman" panose="02020603050405020304" charset="0"/>
              </a:defRPr>
            </a:pPr>
          </a:p>
        </c:txPr>
        <c:crossAx val="986270800"/>
        <c:crosses val="autoZero"/>
        <c:crossBetween val="between"/>
      </c:valAx>
      <c:catAx>
        <c:axId val="766649232"/>
        <c:scaling>
          <c:orientation val="minMax"/>
        </c:scaling>
        <c:delete val="1"/>
        <c:axPos val="b"/>
        <c:numFmt formatCode="General" sourceLinked="1"/>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66643632"/>
        <c:crosses val="autoZero"/>
        <c:auto val="1"/>
        <c:lblAlgn val="ctr"/>
        <c:lblOffset val="100"/>
        <c:noMultiLvlLbl val="0"/>
      </c:catAx>
      <c:valAx>
        <c:axId val="766643632"/>
        <c:scaling>
          <c:orientation val="minMax"/>
        </c:scaling>
        <c:delete val="1"/>
        <c:axPos val="r"/>
        <c:numFmt formatCode="0_ " sourceLinked="0"/>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66649232"/>
        <c:crosses val="max"/>
        <c:crossBetween val="between"/>
      </c:valAx>
      <c:spPr>
        <a:pattFill prst="ltDnDiag">
          <a:fgClr>
            <a:schemeClr val="dk1">
              <a:lumMod val="15000"/>
              <a:lumOff val="85000"/>
            </a:schemeClr>
          </a:fgClr>
          <a:bgClr>
            <a:schemeClr val="lt1"/>
          </a:bgClr>
        </a:pattFill>
        <a:ln>
          <a:noFill/>
        </a:ln>
        <a:effectLst/>
      </c:spPr>
    </c:plotArea>
    <c:legend>
      <c:legendPos val="b"/>
      <c:legendEntry>
        <c:idx val="1"/>
        <c:delete val="1"/>
      </c:legendEntry>
      <c:layout>
        <c:manualLayout>
          <c:xMode val="edge"/>
          <c:yMode val="edge"/>
          <c:x val="0.015860364129956"/>
          <c:y val="0.905193631626194"/>
          <c:w val="0.965101042659351"/>
          <c:h val="0.0948063683738179"/>
        </c:manualLayout>
      </c:layout>
      <c:overlay val="0"/>
      <c:spPr>
        <a:noFill/>
        <a:ln>
          <a:noFill/>
        </a:ln>
        <a:effectLst/>
      </c:spPr>
      <c:txPr>
        <a:bodyPr rot="0" spcFirstLastPara="1" vertOverflow="ellipsis" vert="horz" wrap="square" anchor="ctr" anchorCtr="1"/>
        <a:lstStyle/>
        <a:p>
          <a:pPr>
            <a:defRPr lang="zh-CN" sz="700" b="0" i="0" u="none" strike="noStrike" kern="1200" baseline="0">
              <a:solidFill>
                <a:schemeClr val="dk1">
                  <a:lumMod val="65000"/>
                  <a:lumOff val="35000"/>
                </a:schemeClr>
              </a:solidFill>
              <a:latin typeface="Times New Roman" panose="02020603050405020304" charset="0"/>
              <a:ea typeface="微软雅黑" panose="020B0503020204020204" pitchFamily="2" charset="-122"/>
              <a:cs typeface="Times New Roman" panose="02020603050405020304" charset="0"/>
            </a:defRPr>
          </a:pPr>
        </a:p>
      </c:txPr>
    </c:legend>
    <c:plotVisOnly val="1"/>
    <c:dispBlanksAs val="gap"/>
    <c:showDLblsOverMax val="0"/>
  </c:chart>
  <c:spPr>
    <a:solidFill>
      <a:schemeClr val="lt1"/>
    </a:solidFill>
    <a:ln w="9525" cap="flat" cmpd="sng" algn="ctr">
      <a:solidFill>
        <a:schemeClr val="dk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2021-11-15T11:54:00Z</dcterms:created>
  <dc:creator>   (ii)   仅此而已  ²º¹³</dc:creator>
  <cp:lastModifiedBy> </cp:lastModifiedBy>
  <cp:lastPrinted>2021-11-25T14:36:00Z</cp:lastPrinted>
  <dcterms:modified xsi:type="dcterms:W3CDTF">2024-12-25T01:37:04Z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64B9FC8A246C4F52A7C0B6971F5431F4</vt:lpwstr>
  </property>
</Properties>
</file>