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316"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pageBreakBefore w:val="0"/>
        <w:kinsoku/>
        <w:wordWrap/>
        <w:overflowPunct/>
        <w:topLinePunct w:val="0"/>
        <w:bidi w:val="0"/>
        <w:spacing w:line="579" w:lineRule="exact"/>
        <w:jc w:val="both"/>
        <w:rPr>
          <w:rFonts w:hint="eastAsia" w:ascii="方正仿宋_GBK" w:hAnsi="方正仿宋_GBK" w:eastAsia="方正仿宋_GBK" w:cs="方正仿宋_GBK"/>
          <w:sz w:val="32"/>
          <w:szCs w:val="32"/>
        </w:rPr>
      </w:pPr>
      <w:r>
        <w:rPr>
          <w:rFonts w:hint="default" w:ascii="Times New Roman" w:hAnsi="Times New Roman" w:cs="Times New Roman"/>
          <w:lang w:eastAsia="zh-CN"/>
        </w:rPr>
        <w:t>黔江府发</w:t>
      </w:r>
      <w:r>
        <w:rPr>
          <w:rFonts w:hint="default" w:ascii="Times New Roman" w:hAnsi="Times New Roman" w:cs="Times New Roman"/>
        </w:rPr>
        <w:t>〔2021〕</w:t>
      </w:r>
      <w:r>
        <w:rPr>
          <w:rFonts w:hint="eastAsia" w:ascii="Times New Roman" w:hAnsi="Times New Roman" w:cs="Times New Roman"/>
          <w:lang w:val="en-US" w:eastAsia="zh-CN"/>
        </w:rPr>
        <w:t>65</w:t>
      </w:r>
      <w:r>
        <w:rPr>
          <w:rFonts w:hint="default" w:ascii="Times New Roman" w:hAnsi="Times New Roman" w:cs="Times New Roman"/>
        </w:rPr>
        <w:t>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pageBreakBefore w:val="0"/>
        <w:kinsoku/>
        <w:wordWrap/>
        <w:overflowPunct/>
        <w:topLinePunct w:val="0"/>
        <w:bidi w:val="0"/>
        <w:spacing w:line="579" w:lineRule="exact"/>
        <w:rPr>
          <w:rFonts w:hint="default" w:ascii="Times New Roman" w:hAnsi="Times New Roman" w:eastAsia="方正仿宋_GBK" w:cs="Times New Roman"/>
          <w:kern w:val="2"/>
          <w:sz w:val="32"/>
          <w:lang w:bidi="ar-SA"/>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核收：</w:t>
      </w: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pacing w:line="579" w:lineRule="exact"/>
        <w:jc w:val="center"/>
        <w:rPr>
          <w:rFonts w:hint="default" w:ascii="Times New Roman" w:hAnsi="Times New Roman" w:cs="Times New Roman"/>
          <w:lang w:eastAsia="zh-CN"/>
        </w:rPr>
      </w:pPr>
    </w:p>
    <w:p>
      <w:pPr>
        <w:pageBreakBefore w:val="0"/>
        <w:kinsoku/>
        <w:wordWrap/>
        <w:overflowPunct/>
        <w:topLinePunct w:val="0"/>
        <w:bidi w:val="0"/>
        <w:snapToGrid w:val="0"/>
        <w:spacing w:line="579"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重庆市黔江区</w:t>
      </w:r>
      <w:r>
        <w:rPr>
          <w:rFonts w:hint="default" w:ascii="Times New Roman" w:hAnsi="Times New Roman" w:eastAsia="方正小标宋_GBK" w:cs="Times New Roman"/>
          <w:sz w:val="44"/>
          <w:szCs w:val="44"/>
          <w:lang w:eastAsia="zh-CN"/>
        </w:rPr>
        <w:t>人民政府</w:t>
      </w:r>
    </w:p>
    <w:p>
      <w:pPr>
        <w:pageBreakBefore w:val="0"/>
        <w:kinsoku/>
        <w:wordWrap/>
        <w:overflowPunct/>
        <w:topLinePunct w:val="0"/>
        <w:bidi w:val="0"/>
        <w:snapToGrid w:val="0"/>
        <w:spacing w:line="579"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pacing w:val="-20"/>
          <w:sz w:val="44"/>
          <w:szCs w:val="44"/>
        </w:rPr>
        <w:t>关于印发</w:t>
      </w:r>
      <w:r>
        <w:rPr>
          <w:rFonts w:hint="default" w:ascii="Times New Roman" w:hAnsi="Times New Roman" w:eastAsia="方正小标宋_GBK" w:cs="Times New Roman"/>
          <w:spacing w:val="-20"/>
          <w:sz w:val="44"/>
          <w:szCs w:val="44"/>
          <w:lang w:eastAsia="zh-CN"/>
        </w:rPr>
        <w:t>《</w:t>
      </w:r>
      <w:r>
        <w:rPr>
          <w:rFonts w:hint="default" w:ascii="Times New Roman" w:hAnsi="Times New Roman" w:eastAsia="方正小标宋_GBK" w:cs="Times New Roman"/>
          <w:spacing w:val="-20"/>
          <w:sz w:val="44"/>
          <w:szCs w:val="44"/>
        </w:rPr>
        <w:t>黔江区教育事业发展“十四五”规划</w:t>
      </w:r>
      <w:r>
        <w:rPr>
          <w:rFonts w:hint="default" w:ascii="Times New Roman" w:hAnsi="Times New Roman" w:eastAsia="方正小标宋_GBK" w:cs="Times New Roman"/>
          <w:spacing w:val="-20"/>
          <w:sz w:val="44"/>
          <w:szCs w:val="44"/>
          <w:lang w:eastAsia="zh-CN"/>
        </w:rPr>
        <w:t>》</w:t>
      </w:r>
      <w:r>
        <w:rPr>
          <w:rFonts w:hint="default" w:ascii="Times New Roman" w:hAnsi="Times New Roman" w:eastAsia="方正小标宋_GBK" w:cs="Times New Roman"/>
          <w:spacing w:val="-20"/>
          <w:sz w:val="44"/>
          <w:szCs w:val="44"/>
        </w:rPr>
        <w:t>的</w:t>
      </w:r>
      <w:r>
        <w:rPr>
          <w:rFonts w:hint="default" w:ascii="Times New Roman" w:hAnsi="Times New Roman" w:eastAsia="方正小标宋_GBK" w:cs="Times New Roman"/>
          <w:sz w:val="44"/>
          <w:szCs w:val="44"/>
          <w:lang w:eastAsia="zh-CN"/>
        </w:rPr>
        <w:t>通</w:t>
      </w:r>
      <w:r>
        <w:rPr>
          <w:rFonts w:hint="default" w:ascii="Times New Roman" w:hAnsi="Times New Roman" w:eastAsia="方正小标宋_GBK" w:cs="Times New Roman"/>
          <w:sz w:val="44"/>
          <w:szCs w:val="44"/>
          <w:lang w:val="en-US" w:eastAsia="zh-CN"/>
        </w:rPr>
        <w:t xml:space="preserve">  </w:t>
      </w:r>
      <w:r>
        <w:rPr>
          <w:rFonts w:hint="default" w:ascii="Times New Roman" w:hAnsi="Times New Roman" w:eastAsia="方正小标宋_GBK" w:cs="Times New Roman"/>
          <w:sz w:val="44"/>
          <w:szCs w:val="44"/>
          <w:lang w:eastAsia="zh-CN"/>
        </w:rPr>
        <w:t>知</w:t>
      </w: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pacing w:line="579" w:lineRule="exact"/>
        <w:rPr>
          <w:rFonts w:hint="default" w:ascii="Times New Roman" w:hAnsi="Times New Roman" w:cs="Times New Roman"/>
        </w:rPr>
      </w:pPr>
      <w:r>
        <w:rPr>
          <w:rFonts w:hint="default" w:ascii="Times New Roman" w:hAnsi="Times New Roman" w:eastAsia="方正仿宋_GBK" w:cs="Times New Roman"/>
          <w:sz w:val="32"/>
          <w:szCs w:val="32"/>
        </w:rPr>
        <w:t>各乡、镇党委和人民政府，各街道党工委和办事处，区委各部委，区级国家机关各部门，各人民团体，区属国有重点企业，</w:t>
      </w:r>
      <w:r>
        <w:rPr>
          <w:rFonts w:hint="default" w:ascii="Times New Roman" w:hAnsi="Times New Roman" w:eastAsia="方正仿宋_GBK" w:cs="Times New Roman"/>
          <w:sz w:val="32"/>
          <w:szCs w:val="32"/>
          <w:lang w:eastAsia="zh-CN"/>
        </w:rPr>
        <w:t>各有关</w:t>
      </w:r>
      <w:r>
        <w:rPr>
          <w:rFonts w:hint="default" w:ascii="Times New Roman" w:hAnsi="Times New Roman" w:eastAsia="方正仿宋_GBK" w:cs="Times New Roman"/>
          <w:sz w:val="32"/>
          <w:szCs w:val="32"/>
        </w:rPr>
        <w:t>单位：</w:t>
      </w:r>
    </w:p>
    <w:p>
      <w:pPr>
        <w:pageBreakBefore w:val="0"/>
        <w:kinsoku/>
        <w:wordWrap/>
        <w:overflowPunct/>
        <w:topLinePunct w:val="0"/>
        <w:bidi w:val="0"/>
        <w:spacing w:line="579" w:lineRule="exact"/>
        <w:ind w:firstLine="632" w:firstLineChars="200"/>
        <w:rPr>
          <w:rFonts w:hint="default" w:ascii="Times New Roman" w:hAnsi="Times New Roman" w:eastAsia="方正仿宋_GBK" w:cs="Times New Roman"/>
          <w:sz w:val="32"/>
          <w:szCs w:val="32"/>
          <w:lang w:eastAsia="zh-CN"/>
        </w:rPr>
      </w:pPr>
      <w:r>
        <w:rPr>
          <w:rFonts w:hint="default" w:ascii="Times New Roman" w:hAnsi="Times New Roman" w:cs="Times New Roman"/>
          <w:color w:val="000000"/>
          <w:szCs w:val="32"/>
          <w:lang w:eastAsia="zh-CN"/>
        </w:rPr>
        <w:t>现将《</w:t>
      </w:r>
      <w:r>
        <w:rPr>
          <w:rFonts w:hint="default" w:ascii="Times New Roman" w:hAnsi="Times New Roman" w:eastAsia="方正仿宋_GBK" w:cs="Times New Roman"/>
          <w:sz w:val="32"/>
          <w:szCs w:val="32"/>
        </w:rPr>
        <w:t>黔江区教育事业发展“十四五”规划</w:t>
      </w:r>
      <w:r>
        <w:rPr>
          <w:rFonts w:hint="default" w:ascii="Times New Roman" w:hAnsi="Times New Roman" w:eastAsia="方正仿宋_GBK" w:cs="Times New Roman"/>
          <w:sz w:val="32"/>
          <w:szCs w:val="32"/>
          <w:lang w:eastAsia="zh-CN"/>
        </w:rPr>
        <w:t>》</w:t>
      </w:r>
      <w:r>
        <w:rPr>
          <w:rFonts w:hint="default" w:ascii="Times New Roman" w:hAnsi="Times New Roman" w:cs="Times New Roman"/>
          <w:sz w:val="32"/>
          <w:szCs w:val="32"/>
          <w:lang w:eastAsia="zh-CN"/>
        </w:rPr>
        <w:t>印发给你们，请认真贯彻执行。</w:t>
      </w: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pacing w:line="579" w:lineRule="exact"/>
        <w:jc w:val="both"/>
        <w:rPr>
          <w:rFonts w:hint="default" w:ascii="Times New Roman" w:hAnsi="Times New Roman" w:eastAsia="方正仿宋_GBK" w:cs="Times New Roman"/>
          <w:lang w:eastAsia="zh-CN"/>
        </w:rPr>
      </w:pPr>
      <w:r>
        <w:rPr>
          <w:rFonts w:hint="default" w:ascii="Times New Roman" w:hAnsi="Times New Roman" w:cs="Times New Roman"/>
        </w:rPr>
        <w:t xml:space="preserve">                            重庆市黔江区</w:t>
      </w:r>
      <w:r>
        <w:rPr>
          <w:rFonts w:hint="default" w:ascii="Times New Roman" w:hAnsi="Times New Roman" w:cs="Times New Roman"/>
          <w:lang w:eastAsia="zh-CN"/>
        </w:rPr>
        <w:t>人民政府</w:t>
      </w:r>
    </w:p>
    <w:p>
      <w:pPr>
        <w:pageBreakBefore w:val="0"/>
        <w:kinsoku/>
        <w:wordWrap/>
        <w:overflowPunct/>
        <w:topLinePunct w:val="0"/>
        <w:bidi w:val="0"/>
        <w:spacing w:line="579" w:lineRule="exact"/>
        <w:ind w:right="1264" w:rightChars="400" w:firstLine="632" w:firstLineChars="200"/>
        <w:jc w:val="center"/>
        <w:rPr>
          <w:rFonts w:hint="eastAsia"/>
        </w:rPr>
      </w:pPr>
      <w:r>
        <w:rPr>
          <w:rFonts w:hint="default" w:ascii="Times New Roman" w:hAnsi="Times New Roman" w:cs="Times New Roman"/>
        </w:rPr>
        <w:t xml:space="preserve">                         2021年</w:t>
      </w:r>
      <w:r>
        <w:rPr>
          <w:rFonts w:hint="default" w:ascii="Times New Roman" w:hAnsi="Times New Roman" w:cs="Times New Roman"/>
          <w:lang w:val="en-US" w:eastAsia="zh-CN"/>
        </w:rPr>
        <w:t>11</w:t>
      </w:r>
      <w:r>
        <w:rPr>
          <w:rFonts w:hint="default" w:ascii="Times New Roman" w:hAnsi="Times New Roman" w:cs="Times New Roman"/>
        </w:rPr>
        <w:t>月</w:t>
      </w:r>
      <w:r>
        <w:rPr>
          <w:rFonts w:hint="eastAsia" w:ascii="Times New Roman" w:hAnsi="Times New Roman" w:cs="Times New Roman"/>
          <w:lang w:val="en-US" w:eastAsia="zh-CN"/>
        </w:rPr>
        <w:t>30</w:t>
      </w:r>
      <w:r>
        <w:rPr>
          <w:rFonts w:hint="default" w:ascii="Times New Roman" w:hAnsi="Times New Roman" w:cs="Times New Roman"/>
        </w:rPr>
        <w:t>日</w:t>
      </w:r>
    </w:p>
    <w:p>
      <w:pPr>
        <w:pageBreakBefore w:val="0"/>
        <w:kinsoku/>
        <w:wordWrap/>
        <w:overflowPunct/>
        <w:topLinePunct w:val="0"/>
        <w:bidi w:val="0"/>
        <w:spacing w:line="579" w:lineRule="exact"/>
        <w:ind w:firstLine="632" w:firstLineChars="200"/>
        <w:rPr>
          <w:rFonts w:hint="eastAsia"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w:t>
      </w:r>
      <w:r>
        <w:rPr>
          <w:rFonts w:hint="eastAsia" w:ascii="Times New Roman" w:hAnsi="Times New Roman" w:eastAsia="方正仿宋_GBK" w:cs="Times New Roman"/>
          <w:sz w:val="32"/>
          <w:szCs w:val="32"/>
          <w:lang w:val="en-US" w:eastAsia="zh-CN"/>
        </w:rPr>
        <w:t>此件公开发布</w:t>
      </w:r>
      <w:r>
        <w:rPr>
          <w:rFonts w:hint="eastAsia" w:ascii="Times New Roman" w:hAnsi="Times New Roman" w:cs="Times New Roman"/>
          <w:sz w:val="32"/>
          <w:szCs w:val="32"/>
          <w:lang w:val="en-US" w:eastAsia="zh-CN"/>
        </w:rPr>
        <w:t>）</w:t>
      </w:r>
    </w:p>
    <w:p>
      <w:pPr>
        <w:pageBreakBefore w:val="0"/>
        <w:widowControl/>
        <w:kinsoku/>
        <w:wordWrap/>
        <w:overflowPunct/>
        <w:topLinePunct w:val="0"/>
        <w:autoSpaceDE/>
        <w:autoSpaceDN/>
        <w:bidi w:val="0"/>
        <w:adjustRightInd/>
        <w:snapToGrid/>
        <w:spacing w:line="579" w:lineRule="exact"/>
        <w:jc w:val="center"/>
        <w:textAlignment w:val="baseline"/>
        <w:rPr>
          <w:rFonts w:eastAsia="方正小标宋_GBK"/>
          <w:sz w:val="44"/>
          <w:szCs w:val="44"/>
        </w:rPr>
      </w:pPr>
      <w:r>
        <w:rPr>
          <w:rFonts w:eastAsia="方正小标宋_GBK"/>
          <w:sz w:val="44"/>
          <w:szCs w:val="44"/>
        </w:rPr>
        <w:t>黔江区教育事业发展“十四五”规划</w:t>
      </w:r>
    </w:p>
    <w:p>
      <w:pPr>
        <w:pageBreakBefore w:val="0"/>
        <w:widowControl/>
        <w:kinsoku/>
        <w:wordWrap/>
        <w:overflowPunct/>
        <w:topLinePunct w:val="0"/>
        <w:autoSpaceDE/>
        <w:autoSpaceDN/>
        <w:bidi w:val="0"/>
        <w:adjustRightInd/>
        <w:snapToGrid/>
        <w:spacing w:line="579" w:lineRule="exact"/>
        <w:ind w:firstLine="632" w:firstLineChars="200"/>
        <w:textAlignment w:val="baseline"/>
        <w:rPr>
          <w:szCs w:val="32"/>
        </w:rPr>
      </w:pPr>
    </w:p>
    <w:p>
      <w:pPr>
        <w:pageBreakBefore w:val="0"/>
        <w:widowControl/>
        <w:kinsoku/>
        <w:wordWrap/>
        <w:overflowPunct/>
        <w:topLinePunct w:val="0"/>
        <w:autoSpaceDE/>
        <w:autoSpaceDN/>
        <w:bidi w:val="0"/>
        <w:adjustRightInd/>
        <w:snapToGrid/>
        <w:spacing w:line="579" w:lineRule="exact"/>
        <w:ind w:firstLine="632" w:firstLineChars="200"/>
        <w:textAlignment w:val="baseline"/>
        <w:rPr>
          <w:szCs w:val="32"/>
        </w:rPr>
      </w:pPr>
      <w:r>
        <w:rPr>
          <w:szCs w:val="32"/>
        </w:rPr>
        <w:t>为推进全区教育事业高质量发展，按照《重庆市教育事业发展“十四五”规划》和《重庆教育现代化2035》相关要求，依据《中共重庆市黔江区委关于制定黔江区国民经济和社会发展第十四个五年规划和二〇三五年远景目标的建议》和《重庆市黔江区国民经济和社会发展第十四个五年规划和二〇三五年远景目标纲要》，制定本规划。</w:t>
      </w:r>
    </w:p>
    <w:p>
      <w:pPr>
        <w:keepNext/>
        <w:keepLines/>
        <w:pageBreakBefore w:val="0"/>
        <w:widowControl/>
        <w:kinsoku/>
        <w:wordWrap/>
        <w:overflowPunct/>
        <w:topLinePunct w:val="0"/>
        <w:autoSpaceDE/>
        <w:autoSpaceDN/>
        <w:bidi w:val="0"/>
        <w:adjustRightInd/>
        <w:snapToGrid/>
        <w:spacing w:line="579" w:lineRule="exact"/>
        <w:ind w:firstLine="632" w:firstLineChars="200"/>
        <w:jc w:val="left"/>
        <w:textAlignment w:val="baseline"/>
        <w:outlineLvl w:val="0"/>
        <w:rPr>
          <w:rFonts w:eastAsia="方正黑体_GBK"/>
          <w:szCs w:val="32"/>
        </w:rPr>
      </w:pPr>
      <w:bookmarkStart w:id="0" w:name="_Toc84686303"/>
      <w:r>
        <w:rPr>
          <w:rFonts w:eastAsia="方正黑体_GBK"/>
          <w:szCs w:val="32"/>
        </w:rPr>
        <w:t>一、发展环境</w:t>
      </w:r>
      <w:bookmarkEnd w:id="0"/>
    </w:p>
    <w:p>
      <w:pPr>
        <w:pageBreakBefore w:val="0"/>
        <w:widowControl/>
        <w:kinsoku/>
        <w:wordWrap/>
        <w:overflowPunct/>
        <w:topLinePunct w:val="0"/>
        <w:autoSpaceDE/>
        <w:autoSpaceDN/>
        <w:bidi w:val="0"/>
        <w:adjustRightInd/>
        <w:snapToGrid/>
        <w:spacing w:line="579" w:lineRule="exact"/>
        <w:ind w:firstLine="632" w:firstLineChars="200"/>
        <w:textAlignment w:val="baseline"/>
        <w:rPr>
          <w:szCs w:val="32"/>
        </w:rPr>
      </w:pPr>
      <w:r>
        <w:rPr>
          <w:rFonts w:eastAsia="方正楷体_GBK"/>
          <w:szCs w:val="32"/>
        </w:rPr>
        <w:t>（一）发展基础。</w:t>
      </w:r>
      <w:r>
        <w:rPr>
          <w:szCs w:val="32"/>
        </w:rPr>
        <w:t>“十三五”时期，黔江区委、区政府高度重视教育改革发展，紧紧围绕办好人民满意教育目标，大力实施科教兴区和人才强区行动计划，群众对教育的满意度大幅提高，黔江教育站在了一个新的起点。</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党的领导全面加强。</w:t>
      </w:r>
      <w:r>
        <w:rPr>
          <w:szCs w:val="32"/>
        </w:rPr>
        <w:t>成立区委教育工作领导小组。健全区委常委会、区政府常务会定期研究教育工作的机制，建立区级领导联系学校制度，将履职教育工作情况纳入乡镇街道、区级部门年度综合考核，形成了党委统一领导、党政齐抓共管、部门各司其职的教育管理体制。组建民办教育党组织4个，教育系统105个党组织归口区委教育工委统一管理，实现党的组织和党的工作全覆盖。</w:t>
      </w:r>
      <w:r>
        <w:rPr>
          <w:bCs/>
          <w:szCs w:val="32"/>
        </w:rPr>
        <w:t>常态化开展“三会一课”“支部主题党日活动”，扎实开展“两学一做”“不忘初心、牢记使命”主题教育。</w:t>
      </w:r>
      <w:r>
        <w:rPr>
          <w:szCs w:val="32"/>
        </w:rPr>
        <w:t>全面压实党风廉政建设主体责任，严格执行中央八项规定精神和市区实施意见，建立党员干部涉权事项数据库，7个单位接受区委政治巡察。</w:t>
      </w:r>
    </w:p>
    <w:p>
      <w:pPr>
        <w:pageBreakBefore w:val="0"/>
        <w:widowControl/>
        <w:kinsoku/>
        <w:wordWrap/>
        <w:overflowPunct/>
        <w:topLinePunct w:val="0"/>
        <w:autoSpaceDE/>
        <w:autoSpaceDN/>
        <w:bidi w:val="0"/>
        <w:adjustRightInd/>
        <w:snapToGrid/>
        <w:spacing w:line="579" w:lineRule="exact"/>
        <w:ind w:firstLine="632" w:firstLineChars="200"/>
        <w:textAlignment w:val="baseline"/>
        <w:rPr>
          <w:bCs/>
          <w:szCs w:val="32"/>
        </w:rPr>
      </w:pPr>
      <w:r>
        <w:rPr>
          <w:b/>
          <w:bCs/>
          <w:szCs w:val="32"/>
        </w:rPr>
        <w:t>办学条件不断改善。</w:t>
      </w:r>
      <w:r>
        <w:rPr>
          <w:bCs/>
          <w:szCs w:val="32"/>
        </w:rPr>
        <w:t>编制完善《中小学及幼儿园布局专业规划》，投资10.86亿元完成黔江中学科技楼、学生宿舍，新华中学实验楼，民族中学综合楼、学生食堂，黔江初级中学、人民中学、舟白中学、金溪学校等改扩建工程，城东中心校、正阳中心校迁建项目，持续推进职教中心迁建项目，新增城区学位11500个。扎实推进农村“两类学校”建设，村完小布局进一步优化，24所乡镇中心校全部建成寄宿制学校，</w:t>
      </w:r>
      <w:r>
        <w:rPr>
          <w:szCs w:val="32"/>
        </w:rPr>
        <w:t>“全面改薄”项目绩效评估全市第一。</w:t>
      </w:r>
      <w:r>
        <w:rPr>
          <w:bCs/>
          <w:szCs w:val="32"/>
        </w:rPr>
        <w:t>配备班班通、互动式多媒体设备1300余套，新建录播教室、计算机教室、云教室等86间，百生计算机占比中学14.6台，小学11.7台。配备理化生及科学实验室、功能室393间，仪器设备3.2万台（件、套），生均设备值中学1834.47元、小学1388.81元。配备图书49.46万册及配套设备，生均图书中学30.87册、小学20.1册。升级改造3所高中学校标准化考点系统，建成高中学生综合素质评价系统、走班教学排课系统、生涯规划教育系统，新高考综合改革基础条件保障不断完善。</w:t>
      </w:r>
    </w:p>
    <w:p>
      <w:pPr>
        <w:pageBreakBefore w:val="0"/>
        <w:widowControl/>
        <w:kinsoku/>
        <w:wordWrap/>
        <w:overflowPunct/>
        <w:topLinePunct w:val="0"/>
        <w:autoSpaceDE/>
        <w:autoSpaceDN/>
        <w:bidi w:val="0"/>
        <w:adjustRightInd/>
        <w:snapToGrid/>
        <w:spacing w:line="579" w:lineRule="exact"/>
        <w:ind w:firstLine="632" w:firstLineChars="200"/>
        <w:textAlignment w:val="baseline"/>
        <w:rPr>
          <w:bCs/>
          <w:szCs w:val="32"/>
        </w:rPr>
      </w:pPr>
      <w:r>
        <w:rPr>
          <w:b/>
          <w:bCs/>
          <w:szCs w:val="32"/>
        </w:rPr>
        <w:t>队伍建设活力彰显。</w:t>
      </w:r>
      <w:r>
        <w:rPr>
          <w:bCs/>
          <w:szCs w:val="32"/>
        </w:rPr>
        <w:t>修订完善《加强师德师风建设治理教育乱收费规范办学行为的实施意见》《黔江区师德师风考核办法》等文件，启动师德师风建设3年行动计划，常态化开展教师全员家访和师德师风专项督查。加强先进典型选树宣传，推评全国优秀教育工作</w:t>
      </w:r>
      <w:r>
        <w:rPr>
          <w:rFonts w:hint="eastAsia"/>
          <w:bCs/>
          <w:szCs w:val="32"/>
          <w:lang w:eastAsia="zh-CN"/>
        </w:rPr>
        <w:t>者</w:t>
      </w:r>
      <w:r>
        <w:rPr>
          <w:bCs/>
          <w:szCs w:val="32"/>
        </w:rPr>
        <w:t>、模范教师2名，重庆市先进集体、“最美校长”“最美教师”“最美班主任”10个，表彰区级名校长、名教师、最美乡村教师、优秀思政课教师31名。新增中小学幼儿园教师824名，义务教育、普通高中、中职学校教师学历达标率</w:t>
      </w:r>
      <w:r>
        <w:rPr>
          <w:rFonts w:hint="eastAsia"/>
          <w:bCs/>
          <w:szCs w:val="32"/>
          <w:lang w:eastAsia="zh-CN"/>
        </w:rPr>
        <w:t>分别</w:t>
      </w:r>
      <w:r>
        <w:rPr>
          <w:bCs/>
          <w:szCs w:val="32"/>
        </w:rPr>
        <w:t>达100%、97.9%、97.4%，平均年龄40.8岁，正高级职称16人、副高级职称896人、中级职称2425人，中级及以上职称占比达56.2%，男女性别比0.915:1。成立黔江区中小学语文阅读教学研究指导中心，新增区级名师工作室8个，现有市级学科带头人、学科教学名师等21人，市区级骨干校长（名校长）6人，市区级骨干教师613人。组织教师参加各类培训4万余人次，教师参赛获市级一等奖及以上216人次，立项国市课题项目98个，获市政府教学成果奖3项，市教委优秀教科研成果奖13项。</w:t>
      </w:r>
    </w:p>
    <w:p>
      <w:pPr>
        <w:pageBreakBefore w:val="0"/>
        <w:widowControl/>
        <w:kinsoku/>
        <w:wordWrap/>
        <w:overflowPunct/>
        <w:topLinePunct w:val="0"/>
        <w:autoSpaceDE/>
        <w:autoSpaceDN/>
        <w:bidi w:val="0"/>
        <w:adjustRightInd/>
        <w:snapToGrid/>
        <w:spacing w:line="579" w:lineRule="exact"/>
        <w:ind w:firstLine="632" w:firstLineChars="200"/>
        <w:textAlignment w:val="baseline"/>
        <w:rPr>
          <w:bCs/>
          <w:szCs w:val="32"/>
        </w:rPr>
      </w:pPr>
      <w:r>
        <w:rPr>
          <w:b/>
          <w:bCs/>
          <w:szCs w:val="32"/>
        </w:rPr>
        <w:t>教育改革有序推进。</w:t>
      </w:r>
      <w:r>
        <w:rPr>
          <w:bCs/>
          <w:szCs w:val="32"/>
        </w:rPr>
        <w:t>印发《关于进一步做好高考综合改革基础条件保障工作的通知》《黔江区教育体制机制改革实施方案》《关于全面深化新时代教师队伍建设改革的实施意见》等文件，完成重庆市教育综合改革项目3个，区级重点改革任务42项。立项建设重庆市普通高中发展促进计划和农村中小学领雁工程项目57个，稳步推进市级美育改革和发展实验区、研学旅行试点区工作，建成市区级艺术特色学校、美育改革实验校和各类实践基地、艺术团60余个。实施重点中学高初中分离单办。引进主城9所和山东日照14所优质学校帮扶引领我区相关学校，深化“1+N”集团化办学改革，创新初中“三联式”（联教联研联训）片区联动机制，构建了“管理联动、研训一体、资源共享、捆绑发展”的城乡教育一体化发展新机制。优化学校教育质量考核和综合考核评价办法，建立健全中小学校领导人员管理、教师编制调整和教师交流机制，完善干部教师评职晋级、绩效工资发放等机制。</w:t>
      </w:r>
    </w:p>
    <w:p>
      <w:pPr>
        <w:pageBreakBefore w:val="0"/>
        <w:widowControl/>
        <w:kinsoku/>
        <w:wordWrap/>
        <w:overflowPunct/>
        <w:topLinePunct w:val="0"/>
        <w:autoSpaceDE/>
        <w:autoSpaceDN/>
        <w:bidi w:val="0"/>
        <w:adjustRightInd/>
        <w:snapToGrid/>
        <w:spacing w:line="579" w:lineRule="exact"/>
        <w:ind w:firstLine="632" w:firstLineChars="200"/>
        <w:textAlignment w:val="baseline"/>
        <w:rPr>
          <w:bCs/>
          <w:szCs w:val="32"/>
        </w:rPr>
      </w:pPr>
      <w:r>
        <w:rPr>
          <w:b/>
          <w:bCs/>
          <w:szCs w:val="32"/>
        </w:rPr>
        <w:t>育人质量稳步提升</w:t>
      </w:r>
      <w:r>
        <w:rPr>
          <w:bCs/>
          <w:szCs w:val="32"/>
        </w:rPr>
        <w:t>。坚持立德树人根本任务，着力构建德智体美劳全面发展的培养体系。加强中华优秀传统文化、革命文化和社会主义先进文化教育，积极培育和践行社会主义核心价值观，学生获市级以上德育奖励2700余人次。大力实施“1+5”“2+2”项目，新增乡村学校少年宫和国市级绿色学校、文明学校、优秀文化传承学校、艺术特色学校、体育特色学校57所，学生获市级以上科技创新奖励530余人次、艺术比赛奖励1000余人次，新华小学花样</w:t>
      </w:r>
      <w:r>
        <w:rPr>
          <w:szCs w:val="32"/>
        </w:rPr>
        <w:t>跳绳队参加国家级比赛获45金38银18铜、国际大赛8金3银2铜</w:t>
      </w:r>
      <w:r>
        <w:rPr>
          <w:bCs/>
          <w:szCs w:val="32"/>
        </w:rPr>
        <w:t>。学前三年毛入园率、普惠率、公办在园幼儿占比</w:t>
      </w:r>
      <w:r>
        <w:rPr>
          <w:rFonts w:hint="eastAsia"/>
          <w:bCs/>
          <w:szCs w:val="32"/>
          <w:lang w:eastAsia="zh-CN"/>
        </w:rPr>
        <w:t>分</w:t>
      </w:r>
      <w:r>
        <w:rPr>
          <w:bCs/>
          <w:szCs w:val="32"/>
        </w:rPr>
        <w:t>别达90.20%、95.57%、50.14%。小学、初中入学率100%，高中阶段毛入学率98.20%。先后建成国家义务教育发展基本均衡区、全国青少年普法教育示范区、全国首批农村成人与职业教育示范区，重庆市社区教育示范区、学校美育改革和发展实验区、中小学研学旅行试点区。区职教中心获批“国家级高技能人才培训基地”，武陵山职教集团被确定为重庆市示范性职教集团。</w:t>
      </w:r>
    </w:p>
    <w:p>
      <w:pPr>
        <w:pageBreakBefore w:val="0"/>
        <w:widowControl/>
        <w:kinsoku/>
        <w:wordWrap/>
        <w:overflowPunct/>
        <w:topLinePunct w:val="0"/>
        <w:autoSpaceDE/>
        <w:autoSpaceDN/>
        <w:bidi w:val="0"/>
        <w:adjustRightInd/>
        <w:snapToGrid/>
        <w:spacing w:line="579" w:lineRule="exact"/>
        <w:ind w:firstLine="632" w:firstLineChars="200"/>
        <w:textAlignment w:val="baseline"/>
        <w:rPr>
          <w:bCs/>
          <w:szCs w:val="32"/>
        </w:rPr>
      </w:pPr>
      <w:r>
        <w:rPr>
          <w:b/>
          <w:bCs/>
          <w:szCs w:val="32"/>
        </w:rPr>
        <w:t>教育保障扎实有力。</w:t>
      </w:r>
      <w:r>
        <w:rPr>
          <w:bCs/>
          <w:szCs w:val="32"/>
        </w:rPr>
        <w:t>“十三五”期间，黔江区教育经费总投入79.68亿元，其中国家财政性教育经费投入74.28亿元，稳定实现财政性教育经费投入“一个不低于、两个只增不减”要求，</w:t>
      </w:r>
      <w:bookmarkStart w:id="1" w:name="_Hlk45824154"/>
      <w:r>
        <w:rPr>
          <w:bCs/>
          <w:szCs w:val="32"/>
        </w:rPr>
        <w:t>义务教育教师</w:t>
      </w:r>
      <w:bookmarkEnd w:id="1"/>
      <w:r>
        <w:rPr>
          <w:bCs/>
          <w:szCs w:val="32"/>
        </w:rPr>
        <w:t>工资待遇与公务员工资待遇同调整同保障。构建完善国家资助与社会资助相结合的教育资助体系，兑现各类资助5.3亿余元，惠及学生65万余人次。投入营养改善计划资金1.47亿元，实现农村学前教育和义务教育全覆盖。办理生源地助学贷款1.42亿元，惠及学生2万人次。控辍保学实现动态清零，高质量打赢了教育脱贫攻坚战。认真办理人大代表建议和政协委员提案，倾心关爱留守、残障儿童就学和身心健康，依法维护妇女、儿童合法权益，统筹安排现役军人、随迁人员子女在城区学校就读。积极构建安全预防体系，常态</w:t>
      </w:r>
      <w:r>
        <w:rPr>
          <w:rFonts w:hint="eastAsia"/>
          <w:bCs/>
          <w:szCs w:val="32"/>
          <w:lang w:eastAsia="zh-CN"/>
        </w:rPr>
        <w:t>化</w:t>
      </w:r>
      <w:r>
        <w:rPr>
          <w:bCs/>
          <w:szCs w:val="32"/>
        </w:rPr>
        <w:t>开展师生安全教育、应急演练，做好校园及周边安全隐患排查</w:t>
      </w:r>
      <w:r>
        <w:rPr>
          <w:rFonts w:hint="eastAsia"/>
          <w:bCs/>
          <w:szCs w:val="32"/>
        </w:rPr>
        <w:t>整治</w:t>
      </w:r>
      <w:r>
        <w:rPr>
          <w:bCs/>
          <w:szCs w:val="32"/>
        </w:rPr>
        <w:t>和矛盾纠纷排查调处，建成投用平安校园监控平台，全区学校实现一键联动报警和可视化指挥调度，无重大安全责任事故发生。</w:t>
      </w:r>
    </w:p>
    <w:p>
      <w:pPr>
        <w:widowControl/>
        <w:spacing w:line="579" w:lineRule="exact"/>
        <w:ind w:firstLine="412" w:firstLineChars="200"/>
        <w:jc w:val="center"/>
        <w:textAlignment w:val="baseline"/>
        <w:rPr>
          <w:b/>
          <w:bCs/>
          <w:sz w:val="21"/>
          <w:szCs w:val="21"/>
        </w:rPr>
      </w:pPr>
      <w:bookmarkStart w:id="2" w:name="_Toc76329624"/>
      <w:r>
        <w:rPr>
          <w:b/>
          <w:bCs/>
          <w:sz w:val="21"/>
          <w:szCs w:val="21"/>
        </w:rPr>
        <w:t>表1：黔江区教育事业发展“十三五”规划主要目标实现情况</w:t>
      </w:r>
      <w:bookmarkEnd w:id="2"/>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22"/>
        <w:gridCol w:w="2835"/>
        <w:gridCol w:w="1079"/>
        <w:gridCol w:w="1229"/>
        <w:gridCol w:w="1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baseline"/>
              <w:rPr>
                <w:b/>
                <w:bCs/>
                <w:sz w:val="21"/>
                <w:szCs w:val="21"/>
              </w:rPr>
            </w:pPr>
            <w:r>
              <w:rPr>
                <w:b/>
                <w:bCs/>
                <w:sz w:val="21"/>
                <w:szCs w:val="21"/>
              </w:rPr>
              <w:t>一级指标</w:t>
            </w:r>
          </w:p>
        </w:tc>
        <w:tc>
          <w:tcPr>
            <w:tcW w:w="28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baseline"/>
              <w:rPr>
                <w:b/>
                <w:bCs/>
                <w:sz w:val="21"/>
                <w:szCs w:val="21"/>
              </w:rPr>
            </w:pPr>
            <w:r>
              <w:rPr>
                <w:b/>
                <w:bCs/>
                <w:sz w:val="21"/>
                <w:szCs w:val="21"/>
              </w:rPr>
              <w:t>二级指标</w:t>
            </w:r>
          </w:p>
        </w:tc>
        <w:tc>
          <w:tcPr>
            <w:tcW w:w="1079" w:type="dxa"/>
            <w:vMerge w:val="restart"/>
            <w:tcBorders>
              <w:top w:val="single" w:color="000000" w:sz="4" w:space="0"/>
              <w:left w:val="single" w:color="000000" w:sz="4" w:space="0"/>
              <w:right w:val="single" w:color="000000" w:sz="4" w:space="0"/>
            </w:tcBorders>
            <w:noWrap w:val="0"/>
            <w:vAlign w:val="center"/>
          </w:tcPr>
          <w:p>
            <w:pPr>
              <w:widowControl/>
              <w:spacing w:line="260" w:lineRule="exact"/>
              <w:jc w:val="center"/>
              <w:textAlignment w:val="baseline"/>
              <w:rPr>
                <w:b/>
                <w:bCs/>
                <w:sz w:val="21"/>
                <w:szCs w:val="21"/>
              </w:rPr>
            </w:pPr>
            <w:r>
              <w:rPr>
                <w:b/>
                <w:bCs/>
                <w:sz w:val="21"/>
                <w:szCs w:val="21"/>
              </w:rPr>
              <w:t>单位</w:t>
            </w:r>
          </w:p>
        </w:tc>
        <w:tc>
          <w:tcPr>
            <w:tcW w:w="28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baseline"/>
              <w:rPr>
                <w:b/>
                <w:bCs/>
                <w:sz w:val="21"/>
                <w:szCs w:val="21"/>
              </w:rPr>
            </w:pPr>
            <w:r>
              <w:rPr>
                <w:b/>
                <w:bCs/>
                <w:sz w:val="21"/>
                <w:szCs w:val="21"/>
              </w:rPr>
              <w:t>指标值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jc w:val="center"/>
              <w:textAlignment w:val="baseline"/>
              <w:rPr>
                <w:b/>
                <w:bCs/>
                <w:sz w:val="21"/>
                <w:szCs w:val="21"/>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jc w:val="center"/>
              <w:textAlignment w:val="baseline"/>
              <w:rPr>
                <w:b/>
                <w:bCs/>
                <w:sz w:val="21"/>
                <w:szCs w:val="21"/>
              </w:rPr>
            </w:pPr>
          </w:p>
        </w:tc>
        <w:tc>
          <w:tcPr>
            <w:tcW w:w="1079"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b/>
                <w:bCs/>
                <w:sz w:val="21"/>
                <w:szCs w:val="21"/>
              </w:rPr>
            </w:pP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b/>
                <w:bCs/>
                <w:sz w:val="21"/>
                <w:szCs w:val="21"/>
              </w:rPr>
            </w:pPr>
            <w:r>
              <w:rPr>
                <w:b/>
                <w:bCs/>
                <w:sz w:val="21"/>
                <w:szCs w:val="21"/>
              </w:rPr>
              <w:t>“十三五”</w:t>
            </w:r>
          </w:p>
          <w:p>
            <w:pPr>
              <w:widowControl/>
              <w:spacing w:line="260" w:lineRule="exact"/>
              <w:jc w:val="center"/>
              <w:textAlignment w:val="baseline"/>
              <w:rPr>
                <w:b/>
                <w:bCs/>
                <w:sz w:val="21"/>
                <w:szCs w:val="21"/>
              </w:rPr>
            </w:pPr>
            <w:r>
              <w:rPr>
                <w:b/>
                <w:bCs/>
                <w:sz w:val="21"/>
                <w:szCs w:val="21"/>
              </w:rPr>
              <w:t>规划目标</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b/>
                <w:bCs/>
                <w:sz w:val="21"/>
                <w:szCs w:val="21"/>
              </w:rPr>
            </w:pPr>
            <w:r>
              <w:rPr>
                <w:b/>
                <w:bCs/>
                <w:sz w:val="21"/>
                <w:szCs w:val="21"/>
              </w:rPr>
              <w:t>2020年</w:t>
            </w:r>
          </w:p>
          <w:p>
            <w:pPr>
              <w:widowControl/>
              <w:spacing w:line="260" w:lineRule="exact"/>
              <w:jc w:val="center"/>
              <w:textAlignment w:val="baseline"/>
              <w:rPr>
                <w:b/>
                <w:bCs/>
                <w:sz w:val="21"/>
                <w:szCs w:val="21"/>
              </w:rPr>
            </w:pPr>
            <w:r>
              <w:rPr>
                <w:b/>
                <w:bCs/>
                <w:sz w:val="21"/>
                <w:szCs w:val="21"/>
              </w:rPr>
              <w:t>实现情况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62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ind w:right="597" w:rightChars="189"/>
              <w:textAlignment w:val="baseline"/>
              <w:rPr>
                <w:sz w:val="21"/>
                <w:szCs w:val="21"/>
              </w:rPr>
            </w:pPr>
            <w:r>
              <w:rPr>
                <w:sz w:val="21"/>
                <w:szCs w:val="21"/>
              </w:rPr>
              <w:t>学前教育</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3-6岁幼儿毛入园率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90</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义务教育</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ind w:left="-632" w:leftChars="-200" w:firstLine="392" w:firstLineChars="190"/>
              <w:textAlignment w:val="baseline"/>
              <w:rPr>
                <w:sz w:val="21"/>
                <w:szCs w:val="21"/>
              </w:rPr>
            </w:pPr>
            <w:r>
              <w:rPr>
                <w:sz w:val="21"/>
                <w:szCs w:val="21"/>
              </w:rPr>
              <w:t>义务教育阶段入学率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100</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义务教育阶段巩固率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98</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残障儿童的受教育率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93</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高中阶段</w:t>
            </w:r>
          </w:p>
          <w:p>
            <w:pPr>
              <w:widowControl/>
              <w:spacing w:line="260" w:lineRule="exact"/>
              <w:textAlignment w:val="baseline"/>
              <w:rPr>
                <w:sz w:val="21"/>
                <w:szCs w:val="21"/>
              </w:rPr>
            </w:pPr>
            <w:r>
              <w:rPr>
                <w:sz w:val="21"/>
                <w:szCs w:val="21"/>
              </w:rPr>
              <w:t>教育</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高中阶段毛入学率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97</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中职学校重点专业建设数量</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个</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8</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62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高等教育</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高等教育在校生规模</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万人</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师资队伍</w:t>
            </w:r>
          </w:p>
          <w:p>
            <w:pPr>
              <w:widowControl/>
              <w:spacing w:line="260" w:lineRule="exact"/>
              <w:textAlignment w:val="baseline"/>
              <w:rPr>
                <w:sz w:val="21"/>
                <w:szCs w:val="21"/>
              </w:rPr>
            </w:pPr>
            <w:r>
              <w:rPr>
                <w:sz w:val="21"/>
                <w:szCs w:val="21"/>
              </w:rPr>
              <w:t>建设</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幼儿园教师持证率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90</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小学教师专科学历达标水平</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90</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初中、高中和中职学校本科学历达标水平</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95</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中职学校“双师型”教师占专任教师比</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90</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57.6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区级以上学科带头人、骨干教师占全区教师总数比</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12</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教育信息化</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中小学教师信息技术使用率</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100</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vMerge w:val="continue"/>
            <w:tcBorders>
              <w:top w:val="single" w:color="000000" w:sz="4" w:space="0"/>
              <w:left w:val="single" w:color="000000" w:sz="4" w:space="0"/>
              <w:bottom w:val="single" w:color="auto" w:sz="4" w:space="0"/>
              <w:right w:val="single" w:color="000000" w:sz="4" w:space="0"/>
            </w:tcBorders>
            <w:shd w:val="clear" w:color="auto" w:fill="auto"/>
            <w:noWrap w:val="0"/>
            <w:vAlign w:val="center"/>
          </w:tcPr>
          <w:p>
            <w:pPr>
              <w:widowControl/>
              <w:spacing w:line="260" w:lineRule="exact"/>
              <w:textAlignment w:val="baseline"/>
              <w:rPr>
                <w:sz w:val="21"/>
                <w:szCs w:val="21"/>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数字化示范校园</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个</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65</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jc w:val="center"/>
        </w:trPr>
        <w:tc>
          <w:tcPr>
            <w:tcW w:w="1622"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人力资源开发</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60" w:lineRule="exact"/>
              <w:textAlignment w:val="baseline"/>
              <w:rPr>
                <w:sz w:val="21"/>
                <w:szCs w:val="21"/>
              </w:rPr>
            </w:pPr>
            <w:r>
              <w:rPr>
                <w:sz w:val="21"/>
                <w:szCs w:val="21"/>
              </w:rPr>
              <w:t>主要劳动年龄人口平均受教育年限</w:t>
            </w:r>
          </w:p>
        </w:tc>
        <w:tc>
          <w:tcPr>
            <w:tcW w:w="1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jc w:val="center"/>
              <w:textAlignment w:val="baseline"/>
              <w:rPr>
                <w:sz w:val="21"/>
                <w:szCs w:val="21"/>
              </w:rPr>
            </w:pPr>
            <w:r>
              <w:rPr>
                <w:sz w:val="21"/>
                <w:szCs w:val="21"/>
              </w:rPr>
              <w:t>%</w:t>
            </w:r>
          </w:p>
        </w:tc>
        <w:tc>
          <w:tcPr>
            <w:tcW w:w="1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11.5</w:t>
            </w:r>
          </w:p>
        </w:tc>
        <w:tc>
          <w:tcPr>
            <w:tcW w:w="16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260" w:lineRule="exact"/>
              <w:ind w:firstLine="412" w:firstLineChars="200"/>
              <w:jc w:val="center"/>
              <w:textAlignment w:val="baseline"/>
              <w:rPr>
                <w:sz w:val="21"/>
                <w:szCs w:val="21"/>
              </w:rPr>
            </w:pPr>
            <w:r>
              <w:rPr>
                <w:sz w:val="21"/>
                <w:szCs w:val="21"/>
              </w:rPr>
              <w:t>11.5</w:t>
            </w:r>
          </w:p>
        </w:tc>
      </w:tr>
    </w:tbl>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79" w:lineRule="exact"/>
        <w:ind w:firstLine="632" w:firstLineChars="200"/>
        <w:jc w:val="left"/>
        <w:textAlignment w:val="baseline"/>
        <w:outlineLvl w:val="9"/>
        <w:rPr>
          <w:bCs/>
          <w:szCs w:val="32"/>
        </w:rPr>
      </w:pPr>
      <w:r>
        <w:rPr>
          <w:rFonts w:eastAsia="方正楷体_GBK"/>
          <w:kern w:val="0"/>
          <w:szCs w:val="32"/>
        </w:rPr>
        <w:t>（二）存在问题</w:t>
      </w:r>
      <w:r>
        <w:rPr>
          <w:bCs/>
          <w:szCs w:val="32"/>
        </w:rPr>
        <w:t>。我区教育发展不平衡、不充分问题仍然突出，教育总体发展水平与教育发达地区还存在较大差距，还不能很好满足经济社会发展和人民群众对教育的需求。</w:t>
      </w:r>
      <w:r>
        <w:rPr>
          <w:b/>
          <w:bCs/>
          <w:szCs w:val="32"/>
        </w:rPr>
        <w:t>一是教育经费投入不足</w:t>
      </w:r>
      <w:r>
        <w:rPr>
          <w:bCs/>
          <w:szCs w:val="32"/>
        </w:rPr>
        <w:t>。区外来黔就读学生增加了校舍场地建设、设施设备配置、生均公用经费、学生资助、营养改善计划等方面的财政投入，新建、改扩建等项目进展缓慢，资金保障力度不够。</w:t>
      </w:r>
      <w:r>
        <w:rPr>
          <w:b/>
          <w:bCs/>
          <w:szCs w:val="32"/>
        </w:rPr>
        <w:t>二是教育资源容量不够</w:t>
      </w:r>
      <w:r>
        <w:rPr>
          <w:bCs/>
          <w:szCs w:val="32"/>
        </w:rPr>
        <w:t>。城区教育资源不能适应城镇化加快、计划生育政策调整等因素引起的就学需求变化，公办园在园幼儿占比50.14%，“农村空、城区挤”现象明显，68%的小学生、75%的初中生集中在城区中小学，2020年义务教育阶段大班额占比0.06%；高中大班额占比40%，超大班额占比7.73%。</w:t>
      </w:r>
      <w:r>
        <w:rPr>
          <w:b/>
          <w:bCs/>
          <w:szCs w:val="32"/>
        </w:rPr>
        <w:t>三是教师队伍建设有待加强</w:t>
      </w:r>
      <w:r>
        <w:rPr>
          <w:bCs/>
          <w:szCs w:val="32"/>
        </w:rPr>
        <w:t>。黔江区公办幼儿园专任教师实际编制缺口496人。义务教育阶段教师结构性缺编，音、体、美、劳、科技等专职教师不足，农村学校兼职教师较多。职教中心没有按市编委〔2012〕53号文件进行核编，</w:t>
      </w:r>
      <w:r>
        <w:rPr>
          <w:rFonts w:hint="eastAsia"/>
          <w:bCs/>
          <w:szCs w:val="32"/>
        </w:rPr>
        <w:t>在编</w:t>
      </w:r>
      <w:r>
        <w:rPr>
          <w:bCs/>
          <w:szCs w:val="32"/>
        </w:rPr>
        <w:t>教职工数远小于编制规定数。</w:t>
      </w:r>
      <w:r>
        <w:rPr>
          <w:b/>
          <w:bCs/>
          <w:szCs w:val="32"/>
        </w:rPr>
        <w:t>四是教育职能机构不完善</w:t>
      </w:r>
      <w:r>
        <w:rPr>
          <w:bCs/>
          <w:szCs w:val="32"/>
        </w:rPr>
        <w:t>。公共卫生机构体系不完善，学校卫生室建设滞后；教研机构、教育信息化管理机构尚未独立运行，且未与教师培训、继续教育机构整合发展。</w:t>
      </w:r>
      <w:r>
        <w:rPr>
          <w:b/>
          <w:bCs/>
          <w:szCs w:val="32"/>
        </w:rPr>
        <w:t>五是办学条件存在短板。</w:t>
      </w:r>
      <w:r>
        <w:rPr>
          <w:bCs/>
          <w:szCs w:val="32"/>
        </w:rPr>
        <w:t>7所中小学校生均占地面积不足，缺350亩，约需资金</w:t>
      </w:r>
      <w:r>
        <w:rPr>
          <w:rFonts w:hint="eastAsia"/>
          <w:bCs/>
          <w:szCs w:val="32"/>
        </w:rPr>
        <w:t>2</w:t>
      </w:r>
      <w:r>
        <w:rPr>
          <w:bCs/>
          <w:szCs w:val="32"/>
        </w:rPr>
        <w:t>.1亿元；6所中小学校生均校舍建设面积不足，缺</w:t>
      </w:r>
      <w:r>
        <w:rPr>
          <w:rFonts w:hint="eastAsia"/>
          <w:bCs/>
          <w:szCs w:val="32"/>
        </w:rPr>
        <w:t>3</w:t>
      </w:r>
      <w:r>
        <w:rPr>
          <w:bCs/>
          <w:szCs w:val="32"/>
        </w:rPr>
        <w:t>.5万平方米，约需</w:t>
      </w:r>
      <w:r>
        <w:rPr>
          <w:rFonts w:hint="eastAsia"/>
          <w:bCs/>
          <w:szCs w:val="32"/>
        </w:rPr>
        <w:t>资金</w:t>
      </w:r>
      <w:r>
        <w:rPr>
          <w:bCs/>
          <w:szCs w:val="32"/>
        </w:rPr>
        <w:t>1.5亿元；10所中小学学校生均体育运动场馆面积不足，缺</w:t>
      </w:r>
      <w:r>
        <w:rPr>
          <w:rFonts w:hint="eastAsia"/>
          <w:bCs/>
          <w:szCs w:val="32"/>
        </w:rPr>
        <w:t>1</w:t>
      </w:r>
      <w:r>
        <w:rPr>
          <w:bCs/>
          <w:szCs w:val="32"/>
        </w:rPr>
        <w:t>0.1万平方米，约需</w:t>
      </w:r>
      <w:r>
        <w:rPr>
          <w:rFonts w:hint="eastAsia"/>
          <w:bCs/>
          <w:szCs w:val="32"/>
        </w:rPr>
        <w:t>资金1</w:t>
      </w:r>
      <w:r>
        <w:rPr>
          <w:bCs/>
          <w:szCs w:val="32"/>
        </w:rPr>
        <w:t>.5亿元。部分学校设备配置不足，老化严重，使用率不高。因高初中分离办学，黔江初级中学、新华初级中学实验仪器、功能室、图书及藏书设备等严重短缺。</w:t>
      </w:r>
    </w:p>
    <w:p>
      <w:pPr>
        <w:widowControl/>
        <w:spacing w:line="579" w:lineRule="exact"/>
        <w:ind w:firstLine="632" w:firstLineChars="200"/>
        <w:textAlignment w:val="baseline"/>
        <w:rPr>
          <w:szCs w:val="32"/>
        </w:rPr>
      </w:pPr>
      <w:r>
        <w:rPr>
          <w:rFonts w:eastAsia="方正楷体_GBK"/>
          <w:kern w:val="0"/>
          <w:szCs w:val="32"/>
        </w:rPr>
        <w:t>（三）发展形势</w:t>
      </w:r>
      <w:r>
        <w:rPr>
          <w:szCs w:val="32"/>
        </w:rPr>
        <w:t>。</w:t>
      </w:r>
      <w:bookmarkStart w:id="3" w:name="_Toc76328180"/>
      <w:bookmarkStart w:id="4" w:name="_Toc31315"/>
      <w:bookmarkStart w:id="5" w:name="_Toc813"/>
      <w:r>
        <w:rPr>
          <w:szCs w:val="32"/>
        </w:rPr>
        <w:t>“十四五”时期是我区贯彻落实全国教育大会精神、加快推进教育现代化的关键五年。教育发展的外部环境和内部条件发生新的深刻复杂变化，必须着眼长远，立足当下，把握大势，乘势而上，谱写教育高质量发展新篇章。</w:t>
      </w:r>
      <w:r>
        <w:rPr>
          <w:b/>
          <w:bCs/>
          <w:spacing w:val="-10"/>
          <w:szCs w:val="32"/>
        </w:rPr>
        <w:t>一是国市政策叠加，为我区教育发展提供历史机遇。</w:t>
      </w:r>
      <w:r>
        <w:rPr>
          <w:szCs w:val="32"/>
        </w:rPr>
        <w:t>2016年、2019年习近平总书记先后两次视察重庆，对重庆提出了“两点”定位、“两地”“两高”目标、发挥“三个作用”和营造良好政治生态的重要指示。2019年，陈敏尔书记在参加市五届人大三次会议黔江代表团审议时提出“要研究在省际交界的区县，规划建设一批三甲医院、职业院校，增强集聚辐射能力”。2020年，陈敏尔书记来黔调研要求：突出抓好旅游、教育、医疗集散功能。党的十九大报告首次提出实施乡村振兴战略，我区实施乡村教育振兴有基础、有条件、有需求、有潜力。黔江区享有西部大开发、成渝地区双城经济圈、渝东南武陵山区城镇群、武陵山连片贫困地区巩固拓展脱贫攻坚成果</w:t>
      </w:r>
      <w:r>
        <w:rPr>
          <w:rFonts w:hint="eastAsia"/>
          <w:szCs w:val="32"/>
          <w:lang w:val="en-US" w:eastAsia="zh-CN"/>
        </w:rPr>
        <w:t>同</w:t>
      </w:r>
      <w:r>
        <w:rPr>
          <w:szCs w:val="32"/>
        </w:rPr>
        <w:t>乡村振兴有效衔接等政策叠加优势，为我区教育发展带来重大历史机遇。</w:t>
      </w:r>
      <w:r>
        <w:rPr>
          <w:b/>
          <w:bCs/>
          <w:spacing w:val="-10"/>
          <w:szCs w:val="32"/>
        </w:rPr>
        <w:t>二是区域战略新定位，为我区教育高质量发展提供新动能。</w:t>
      </w:r>
      <w:r>
        <w:rPr>
          <w:szCs w:val="32"/>
        </w:rPr>
        <w:t>黔江地处武陵山区腹地和重庆市东南部中心，是国市定位的武陵山片区中心城市之一和渝东南区域中心城市，承接着区域辐射带动和周边人口转移的重任，区位、生态、开放、服务和文脉等发展优势和特色优势，为黔江教育高质量发展提供了新动能。面对新形势，我区教育机遇与挑战并存，必须更新教育理念，遵循教育规律和人才成长规律，把握新阶段新特征新要求，负重自强，开拓进取，全面建成渝东南教育中心。</w:t>
      </w:r>
    </w:p>
    <w:bookmarkEnd w:id="3"/>
    <w:bookmarkEnd w:id="4"/>
    <w:bookmarkEnd w:id="5"/>
    <w:p>
      <w:pPr>
        <w:pageBreakBefore w:val="0"/>
        <w:widowControl/>
        <w:shd w:val="clear" w:color="auto" w:fill="FFFFFF"/>
        <w:kinsoku/>
        <w:wordWrap/>
        <w:overflowPunct/>
        <w:topLinePunct w:val="0"/>
        <w:autoSpaceDE/>
        <w:autoSpaceDN/>
        <w:bidi w:val="0"/>
        <w:adjustRightInd/>
        <w:snapToGrid/>
        <w:spacing w:line="579" w:lineRule="exact"/>
        <w:ind w:firstLine="632" w:firstLineChars="200"/>
        <w:outlineLvl w:val="0"/>
        <w:rPr>
          <w:rFonts w:eastAsia="方正黑体_GBK"/>
          <w:kern w:val="0"/>
          <w:szCs w:val="32"/>
        </w:rPr>
      </w:pPr>
      <w:bookmarkStart w:id="6" w:name="_Toc76328182"/>
      <w:bookmarkStart w:id="7" w:name="_Toc27485"/>
      <w:bookmarkStart w:id="8" w:name="_Toc11139"/>
      <w:bookmarkStart w:id="9" w:name="_Toc84686304"/>
      <w:r>
        <w:rPr>
          <w:rFonts w:eastAsia="方正黑体_GBK"/>
          <w:kern w:val="0"/>
          <w:szCs w:val="32"/>
        </w:rPr>
        <w:t>二、</w:t>
      </w:r>
      <w:bookmarkEnd w:id="6"/>
      <w:bookmarkEnd w:id="7"/>
      <w:bookmarkEnd w:id="8"/>
      <w:r>
        <w:rPr>
          <w:rFonts w:eastAsia="方正黑体_GBK"/>
          <w:kern w:val="0"/>
          <w:szCs w:val="32"/>
        </w:rPr>
        <w:t>总体要求</w:t>
      </w:r>
      <w:bookmarkEnd w:id="9"/>
    </w:p>
    <w:p>
      <w:pPr>
        <w:keepNext/>
        <w:keepLines/>
        <w:pageBreakBefore w:val="0"/>
        <w:widowControl/>
        <w:kinsoku/>
        <w:wordWrap/>
        <w:overflowPunct/>
        <w:topLinePunct w:val="0"/>
        <w:autoSpaceDE/>
        <w:autoSpaceDN/>
        <w:bidi w:val="0"/>
        <w:adjustRightInd/>
        <w:snapToGrid/>
        <w:spacing w:line="579" w:lineRule="exact"/>
        <w:ind w:firstLine="632" w:firstLineChars="200"/>
        <w:jc w:val="left"/>
        <w:textAlignment w:val="baseline"/>
        <w:outlineLvl w:val="1"/>
        <w:rPr>
          <w:rFonts w:eastAsia="方正楷体_GBK"/>
          <w:szCs w:val="32"/>
        </w:rPr>
      </w:pPr>
      <w:bookmarkStart w:id="10" w:name="_Toc12090"/>
      <w:bookmarkStart w:id="11" w:name="_Toc84686305"/>
      <w:bookmarkStart w:id="12" w:name="_Toc13811"/>
      <w:bookmarkStart w:id="13" w:name="_Toc76328183"/>
      <w:r>
        <w:rPr>
          <w:rFonts w:eastAsia="方正楷体_GBK"/>
          <w:szCs w:val="32"/>
        </w:rPr>
        <w:t>（一）指导思想</w:t>
      </w:r>
      <w:bookmarkEnd w:id="10"/>
      <w:bookmarkEnd w:id="11"/>
      <w:bookmarkEnd w:id="12"/>
      <w:bookmarkEnd w:id="13"/>
    </w:p>
    <w:p>
      <w:pPr>
        <w:pageBreakBefore w:val="0"/>
        <w:widowControl/>
        <w:kinsoku/>
        <w:wordWrap/>
        <w:overflowPunct/>
        <w:topLinePunct w:val="0"/>
        <w:autoSpaceDE/>
        <w:autoSpaceDN/>
        <w:bidi w:val="0"/>
        <w:adjustRightInd/>
        <w:snapToGrid/>
        <w:spacing w:line="579" w:lineRule="exact"/>
        <w:ind w:firstLine="632" w:firstLineChars="200"/>
        <w:textAlignment w:val="baseline"/>
        <w:rPr>
          <w:bCs/>
          <w:szCs w:val="32"/>
        </w:rPr>
      </w:pPr>
      <w:r>
        <w:rPr>
          <w:szCs w:val="32"/>
        </w:rPr>
        <w:t>坚持以习近平新时代中国特色社会主义思想为指导，全面贯彻党的十九大、十九届二中、三中、四中、五中</w:t>
      </w:r>
      <w:r>
        <w:rPr>
          <w:rFonts w:hint="eastAsia"/>
          <w:szCs w:val="32"/>
        </w:rPr>
        <w:t>、</w:t>
      </w:r>
      <w:r>
        <w:rPr>
          <w:szCs w:val="32"/>
        </w:rPr>
        <w:t>六中全会精神，学习贯彻习近平总书记关于教育的重要论述和全国全市教育大会精神，按照习近平总书记对重庆提出的“两点”定位、“两地”“两高”目标，发挥“三个作用”和推动成渝地区双城经济圈建设等重要指示要求，坚持和加强党对教育工作的全面领导，深入贯彻党的教育方针，落实立德树人根本任务，统筹推进育人方式、办学模式、管理体制、保障体制改革，加快推进教育治理体系和治理能力现代化，全面建成渝东南教育中心，</w:t>
      </w:r>
      <w:r>
        <w:rPr>
          <w:bCs/>
          <w:szCs w:val="32"/>
        </w:rPr>
        <w:t>努力办好人民满意教育。</w:t>
      </w:r>
      <w:r>
        <w:rPr>
          <w:szCs w:val="32"/>
        </w:rPr>
        <w:t>为巩固拓展脱贫攻坚成果</w:t>
      </w:r>
      <w:r>
        <w:rPr>
          <w:rFonts w:hint="eastAsia"/>
          <w:szCs w:val="32"/>
          <w:lang w:val="en-US" w:eastAsia="zh-CN"/>
        </w:rPr>
        <w:t>同</w:t>
      </w:r>
      <w:r>
        <w:rPr>
          <w:szCs w:val="32"/>
        </w:rPr>
        <w:t>乡村振兴有效衔接提供智力支持，</w:t>
      </w:r>
      <w:r>
        <w:rPr>
          <w:bCs/>
          <w:szCs w:val="32"/>
        </w:rPr>
        <w:t>为我区加快建设渝东南区域中心城市和具有区域辐射带动力的公共服务高地提供有力支撑。</w:t>
      </w:r>
      <w:bookmarkStart w:id="14" w:name="_Toc3940"/>
      <w:bookmarkStart w:id="15" w:name="_Toc26615"/>
      <w:bookmarkStart w:id="16" w:name="_Toc84686306"/>
      <w:bookmarkStart w:id="17" w:name="_Toc76328184"/>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rFonts w:eastAsia="方正楷体_GBK"/>
          <w:szCs w:val="32"/>
        </w:rPr>
      </w:pPr>
      <w:r>
        <w:rPr>
          <w:rFonts w:eastAsia="方正楷体_GBK"/>
          <w:szCs w:val="32"/>
        </w:rPr>
        <w:t>（二）基本原则</w:t>
      </w:r>
      <w:bookmarkEnd w:id="14"/>
      <w:bookmarkEnd w:id="15"/>
      <w:bookmarkEnd w:id="16"/>
      <w:bookmarkEnd w:id="17"/>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1.坚持党对教育工作的全面领导。</w:t>
      </w:r>
      <w:r>
        <w:rPr>
          <w:szCs w:val="32"/>
        </w:rPr>
        <w:t>全面加强教育系统党的建设，健全党领导教育工作的体制机制，坚持社会主义办学方向，贯彻落实党的教育方针，培养德智体美劳全面发展的社会主义建设者和接班人。全区各级党</w:t>
      </w:r>
      <w:r>
        <w:rPr>
          <w:rFonts w:hint="eastAsia"/>
          <w:szCs w:val="32"/>
        </w:rPr>
        <w:t>组织</w:t>
      </w:r>
      <w:r>
        <w:rPr>
          <w:szCs w:val="32"/>
        </w:rPr>
        <w:t>发挥把方向、管大局、保落实作用，提高政治站位，树立正确导向，强化理论武装，加强统筹协调，切实提高领导教育工作的能力和水平，不折不扣推动党中央、市委各项决策部署落地见效。</w:t>
      </w:r>
    </w:p>
    <w:p>
      <w:pPr>
        <w:widowControl/>
        <w:spacing w:line="579" w:lineRule="exact"/>
        <w:ind w:firstLine="632" w:firstLineChars="200"/>
        <w:textAlignment w:val="baseline"/>
        <w:rPr>
          <w:szCs w:val="32"/>
        </w:rPr>
      </w:pPr>
      <w:r>
        <w:rPr>
          <w:b/>
          <w:bCs/>
          <w:szCs w:val="32"/>
        </w:rPr>
        <w:t>2.坚持以人民为中心。</w:t>
      </w:r>
      <w:r>
        <w:rPr>
          <w:szCs w:val="32"/>
        </w:rPr>
        <w:t>坚持教育公益性原则，持续关注特殊群体学生就学</w:t>
      </w:r>
      <w:r>
        <w:rPr>
          <w:rFonts w:hint="eastAsia"/>
          <w:szCs w:val="32"/>
        </w:rPr>
        <w:t>和</w:t>
      </w:r>
      <w:r>
        <w:rPr>
          <w:szCs w:val="32"/>
        </w:rPr>
        <w:t>乡村教育振兴问题，提高农村学校师资水平和育人质量，让每一个学生接受公平而有质量的教育，不断满足人民</w:t>
      </w:r>
      <w:r>
        <w:rPr>
          <w:rFonts w:hint="eastAsia"/>
          <w:szCs w:val="32"/>
          <w:lang w:eastAsia="zh-CN"/>
        </w:rPr>
        <w:t>群众</w:t>
      </w:r>
      <w:r>
        <w:rPr>
          <w:szCs w:val="32"/>
        </w:rPr>
        <w:t>对优质教育的需求，促进人的全面发展。</w:t>
      </w:r>
    </w:p>
    <w:p>
      <w:pPr>
        <w:widowControl/>
        <w:spacing w:line="579" w:lineRule="exact"/>
        <w:ind w:firstLine="632" w:firstLineChars="200"/>
        <w:textAlignment w:val="baseline"/>
        <w:rPr>
          <w:szCs w:val="32"/>
        </w:rPr>
      </w:pPr>
      <w:r>
        <w:rPr>
          <w:b/>
          <w:bCs/>
          <w:szCs w:val="32"/>
        </w:rPr>
        <w:t>3.坚持新发展理念。</w:t>
      </w:r>
      <w:r>
        <w:rPr>
          <w:szCs w:val="32"/>
        </w:rPr>
        <w:t>始终把教育摆在优先发展的战略位置，实现“经济社会发展规划要优先安排教育发展”“财政资金要优先保障教育投入”“公共资源要优先落实教育和人力资源开发的需要”。在提质量、缩差距、重配置、建机制等方面下功夫，改善教育发展环境，出台新的教育扶持政策，完善教育体制机制，促进教育健康发展。</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4.坚持深化教育改革。</w:t>
      </w:r>
      <w:r>
        <w:rPr>
          <w:bCs/>
          <w:szCs w:val="32"/>
        </w:rPr>
        <w:t>全面深化教育领域综合改革，以教育评价改革促进育人方式、办学模式、管理体制、保障机制改革。加强教育对外交流合作，加快融入成渝地区双城经济圈和全市“一区两群”协调发展格局</w:t>
      </w:r>
      <w:r>
        <w:rPr>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5.坚持系统谋划协同推进。</w:t>
      </w:r>
      <w:r>
        <w:rPr>
          <w:szCs w:val="32"/>
        </w:rPr>
        <w:t>统筹全区教育与经济社会发展，促进各级各类教育协调发展，加强不同学段有机衔接，推进城乡教育协同发展，统筹改革发展与安全稳定。</w:t>
      </w:r>
      <w:bookmarkStart w:id="18" w:name="_Toc76328185"/>
      <w:bookmarkStart w:id="19" w:name="_Toc30495"/>
      <w:bookmarkStart w:id="20" w:name="_Toc3534"/>
      <w:bookmarkStart w:id="21" w:name="_Toc84686307"/>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rFonts w:eastAsia="方正楷体_GBK"/>
          <w:szCs w:val="32"/>
        </w:rPr>
      </w:pPr>
      <w:r>
        <w:rPr>
          <w:rFonts w:eastAsia="方正楷体_GBK"/>
          <w:szCs w:val="32"/>
        </w:rPr>
        <w:t>（三）发展思路</w:t>
      </w:r>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szCs w:val="32"/>
        </w:rPr>
      </w:pPr>
      <w:r>
        <w:rPr>
          <w:szCs w:val="32"/>
        </w:rPr>
        <w:t>“十四五”时期，黔江将围绕“135”发展思路，整体推进全区各级各类教育事业发展。</w:t>
      </w:r>
    </w:p>
    <w:p>
      <w:pPr>
        <w:widowControl/>
        <w:spacing w:line="579" w:lineRule="exact"/>
        <w:ind w:firstLine="632" w:firstLineChars="200"/>
        <w:textAlignment w:val="baseline"/>
        <w:rPr>
          <w:szCs w:val="32"/>
        </w:rPr>
      </w:pPr>
      <w:r>
        <w:rPr>
          <w:szCs w:val="32"/>
        </w:rPr>
        <w:t>咬定一个目标——全面建成渝东南教育中心。</w:t>
      </w:r>
    </w:p>
    <w:p>
      <w:pPr>
        <w:widowControl/>
        <w:spacing w:line="579" w:lineRule="exact"/>
        <w:ind w:firstLine="632" w:firstLineChars="200"/>
        <w:textAlignment w:val="baseline"/>
        <w:rPr>
          <w:szCs w:val="32"/>
        </w:rPr>
      </w:pPr>
      <w:r>
        <w:rPr>
          <w:szCs w:val="32"/>
        </w:rPr>
        <w:t>把握三条主线——教育治理能力建设、教育基础能力建设、教育高质量发展。</w:t>
      </w:r>
    </w:p>
    <w:p>
      <w:pPr>
        <w:widowControl/>
        <w:spacing w:line="579" w:lineRule="exact"/>
        <w:ind w:firstLine="632" w:firstLineChars="200"/>
        <w:textAlignment w:val="baseline"/>
        <w:rPr>
          <w:szCs w:val="32"/>
        </w:rPr>
      </w:pPr>
      <w:r>
        <w:rPr>
          <w:szCs w:val="32"/>
        </w:rPr>
        <w:t>实施五大工程——立德树人工程、教育布局优化工程、名师名校长培养工程、教育信息化工程、教育质效提升工程。</w:t>
      </w:r>
    </w:p>
    <w:p>
      <w:pPr>
        <w:keepNext/>
        <w:keepLines/>
        <w:widowControl/>
        <w:spacing w:line="579" w:lineRule="exact"/>
        <w:ind w:firstLine="632" w:firstLineChars="200"/>
        <w:textAlignment w:val="baseline"/>
        <w:outlineLvl w:val="1"/>
        <w:rPr>
          <w:rFonts w:eastAsia="方正楷体_GBK"/>
          <w:szCs w:val="32"/>
        </w:rPr>
      </w:pPr>
      <w:bookmarkStart w:id="22" w:name="_Toc20097"/>
      <w:bookmarkStart w:id="23" w:name="_Toc84686308"/>
      <w:bookmarkStart w:id="24" w:name="_Toc3914"/>
      <w:bookmarkStart w:id="25" w:name="_Toc76328186"/>
      <w:r>
        <w:rPr>
          <w:rFonts w:eastAsia="方正楷体_GBK"/>
          <w:szCs w:val="32"/>
        </w:rPr>
        <w:t>（四）发展目标</w:t>
      </w:r>
      <w:bookmarkEnd w:id="22"/>
      <w:bookmarkEnd w:id="23"/>
      <w:bookmarkEnd w:id="24"/>
      <w:bookmarkEnd w:id="25"/>
    </w:p>
    <w:p>
      <w:pPr>
        <w:widowControl/>
        <w:spacing w:line="579" w:lineRule="exact"/>
        <w:ind w:firstLine="948" w:firstLineChars="300"/>
        <w:textAlignment w:val="baseline"/>
        <w:rPr>
          <w:szCs w:val="32"/>
        </w:rPr>
      </w:pPr>
      <w:r>
        <w:rPr>
          <w:b/>
          <w:szCs w:val="32"/>
        </w:rPr>
        <w:t>二〇三五远景目标。</w:t>
      </w:r>
      <w:r>
        <w:rPr>
          <w:szCs w:val="32"/>
        </w:rPr>
        <w:t>到2035年，实现教育现代化，教育总体发展水平达到全市先进水平，基本建成重庆市教育强区</w:t>
      </w:r>
      <w:r>
        <w:rPr>
          <w:rFonts w:hint="eastAsia"/>
          <w:szCs w:val="32"/>
        </w:rPr>
        <w:t>和</w:t>
      </w:r>
      <w:r>
        <w:rPr>
          <w:szCs w:val="32"/>
        </w:rPr>
        <w:t>武陵山区教育高地，推动黔江成为学习型城市、人力资源强区和人才强区，为黔江建成现代化强区奠定坚实基础。建成服务全民终身学习的现代教育体系，学习者得到全面、充分、个性的发展，各类教育发展更加公平、优质，教育服务经济社会发展的贡献度明显增强，教育竞争力、影响力显著提升，形成多元参与、共建共享的现代教育治理体系。</w:t>
      </w:r>
    </w:p>
    <w:p>
      <w:pPr>
        <w:keepNext w:val="0"/>
        <w:keepLines w:val="0"/>
        <w:pageBreakBefore w:val="0"/>
        <w:widowControl w:val="0"/>
        <w:kinsoku/>
        <w:wordWrap/>
        <w:overflowPunct/>
        <w:topLinePunct w:val="0"/>
        <w:autoSpaceDE/>
        <w:autoSpaceDN/>
        <w:bidi w:val="0"/>
        <w:adjustRightInd/>
        <w:snapToGrid/>
        <w:spacing w:line="640" w:lineRule="exact"/>
        <w:ind w:firstLine="632" w:firstLineChars="200"/>
        <w:outlineLvl w:val="9"/>
        <w:rPr>
          <w:szCs w:val="32"/>
        </w:rPr>
      </w:pPr>
      <w:r>
        <w:rPr>
          <w:b/>
          <w:szCs w:val="22"/>
        </w:rPr>
        <w:t>“十四五”时期主要目标。</w:t>
      </w:r>
      <w:r>
        <w:rPr>
          <w:szCs w:val="32"/>
        </w:rPr>
        <w:t>到2025年，“三区两地一中心”（即：建成国家学前教育普及普惠区、全国义务教育优质均衡发展区、国家产教融合创新示范区，渝东南优质高中教育基地、武陵山职业教育高地，全面建成渝东南教育中心）发展目标如期实现，全面建成集“学前教育、基础教育、职业教育、高等教育”于一体的渝东南教育中心，外来就学人口占比提高到25%以上。区域教育公共服务均等化水平、教育现代化治理体系能力全面提升，教育现代化建设和高质量发展取得明显进展，人民群众对教育的满意度不断提升，教育服务地方经济社会发展的能力显著提高。</w:t>
      </w:r>
    </w:p>
    <w:p>
      <w:pPr>
        <w:keepNext w:val="0"/>
        <w:keepLines w:val="0"/>
        <w:pageBreakBefore w:val="0"/>
        <w:widowControl w:val="0"/>
        <w:kinsoku/>
        <w:wordWrap/>
        <w:overflowPunct/>
        <w:topLinePunct w:val="0"/>
        <w:autoSpaceDE/>
        <w:autoSpaceDN/>
        <w:bidi w:val="0"/>
        <w:adjustRightInd/>
        <w:snapToGrid/>
        <w:spacing w:line="640" w:lineRule="exact"/>
        <w:ind w:firstLine="632" w:firstLineChars="200"/>
        <w:textAlignment w:val="baseline"/>
        <w:outlineLvl w:val="9"/>
        <w:rPr>
          <w:szCs w:val="32"/>
        </w:rPr>
      </w:pPr>
      <w:r>
        <w:rPr>
          <w:b/>
          <w:szCs w:val="32"/>
        </w:rPr>
        <w:t>——学前教育普及普惠发展。</w:t>
      </w:r>
      <w:r>
        <w:rPr>
          <w:szCs w:val="32"/>
        </w:rPr>
        <w:t>大力发展学前教育，乡镇公办中心幼儿园实现全覆盖。幼儿园安全办园、科学保教水平全面提高，三级及以上幼儿园达95%以上，二级及以上幼儿园达65%以上，学前教育三年毛入园率达</w:t>
      </w:r>
      <w:r>
        <w:rPr>
          <w:rFonts w:hint="eastAsia"/>
          <w:szCs w:val="32"/>
        </w:rPr>
        <w:t>93</w:t>
      </w:r>
      <w:r>
        <w:rPr>
          <w:szCs w:val="32"/>
        </w:rPr>
        <w:t>%以上，普惠性幼儿园覆盖率达90%以上，公办园在园幼儿占比达55%以上，教师持证率达100%。</w:t>
      </w:r>
      <w:r>
        <w:rPr>
          <w:rFonts w:hint="eastAsia"/>
          <w:szCs w:val="32"/>
        </w:rPr>
        <w:t>力争</w:t>
      </w:r>
      <w:r>
        <w:rPr>
          <w:szCs w:val="32"/>
        </w:rPr>
        <w:t>建成国家学前教育普及普惠区。</w:t>
      </w:r>
    </w:p>
    <w:p>
      <w:pPr>
        <w:keepNext w:val="0"/>
        <w:keepLines w:val="0"/>
        <w:pageBreakBefore w:val="0"/>
        <w:widowControl w:val="0"/>
        <w:kinsoku/>
        <w:wordWrap/>
        <w:overflowPunct/>
        <w:topLinePunct w:val="0"/>
        <w:autoSpaceDE/>
        <w:autoSpaceDN/>
        <w:bidi w:val="0"/>
        <w:adjustRightInd/>
        <w:snapToGrid/>
        <w:spacing w:line="640" w:lineRule="exact"/>
        <w:ind w:firstLine="632" w:firstLineChars="200"/>
        <w:textAlignment w:val="baseline"/>
        <w:outlineLvl w:val="9"/>
        <w:rPr>
          <w:szCs w:val="32"/>
        </w:rPr>
      </w:pPr>
      <w:r>
        <w:rPr>
          <w:b/>
          <w:szCs w:val="32"/>
        </w:rPr>
        <w:t>——义务教育优质均衡发展。</w:t>
      </w:r>
      <w:r>
        <w:rPr>
          <w:szCs w:val="32"/>
        </w:rPr>
        <w:t>全区义务教育阶段学校布局更加合理，城乡教育资源更加均衡，教育管理水平、人才素质、综合质量明显提升，优质教育资源覆盖面不断扩大。全面消除大班额，义务教育优质均衡关键指标达标率逐年提升。国、市义务教育质量监测结果渝东南领先，学生参加市级以上各类竞赛获奖人次渝东南领先，</w:t>
      </w:r>
      <w:r>
        <w:rPr>
          <w:rFonts w:hint="eastAsia"/>
          <w:szCs w:val="32"/>
        </w:rPr>
        <w:t>力争</w:t>
      </w:r>
      <w:r>
        <w:rPr>
          <w:szCs w:val="32"/>
        </w:rPr>
        <w:t>建成全国义务教育优质均衡发展区。</w:t>
      </w:r>
    </w:p>
    <w:p>
      <w:pPr>
        <w:keepNext w:val="0"/>
        <w:keepLines w:val="0"/>
        <w:pageBreakBefore w:val="0"/>
        <w:widowControl w:val="0"/>
        <w:kinsoku/>
        <w:wordWrap/>
        <w:overflowPunct/>
        <w:topLinePunct w:val="0"/>
        <w:autoSpaceDE/>
        <w:autoSpaceDN/>
        <w:bidi w:val="0"/>
        <w:adjustRightInd/>
        <w:snapToGrid/>
        <w:spacing w:line="620" w:lineRule="exact"/>
        <w:ind w:firstLine="632" w:firstLineChars="200"/>
        <w:textAlignment w:val="baseline"/>
        <w:outlineLvl w:val="9"/>
        <w:rPr>
          <w:szCs w:val="32"/>
        </w:rPr>
      </w:pPr>
      <w:r>
        <w:rPr>
          <w:b/>
          <w:szCs w:val="32"/>
        </w:rPr>
        <w:t>——普通高中特色优质发展。</w:t>
      </w:r>
      <w:r>
        <w:rPr>
          <w:szCs w:val="32"/>
        </w:rPr>
        <w:t>普通高中办学水平明显提升，人才培养模式更加多元，创新型拔尖人才培养能力不断提高，有效满足学生全面、个性、多样发展需要，高中教育质量领先渝东南。黔江中学建成</w:t>
      </w:r>
      <w:r>
        <w:rPr>
          <w:spacing w:val="8"/>
          <w:szCs w:val="32"/>
        </w:rPr>
        <w:t>渝东南高中教育领头羊、重庆市重点中学前十强、重庆市首批特色示范高中</w:t>
      </w:r>
      <w:r>
        <w:rPr>
          <w:szCs w:val="32"/>
        </w:rPr>
        <w:t>，新华中学、民族中学建成市级特色普通高中。建成渝东南优质高中教育基地。</w:t>
      </w:r>
    </w:p>
    <w:p>
      <w:pPr>
        <w:keepNext w:val="0"/>
        <w:keepLines w:val="0"/>
        <w:pageBreakBefore w:val="0"/>
        <w:widowControl w:val="0"/>
        <w:kinsoku/>
        <w:wordWrap/>
        <w:overflowPunct/>
        <w:topLinePunct w:val="0"/>
        <w:autoSpaceDE/>
        <w:autoSpaceDN/>
        <w:bidi w:val="0"/>
        <w:adjustRightInd/>
        <w:snapToGrid/>
        <w:spacing w:line="620" w:lineRule="exact"/>
        <w:ind w:firstLine="632" w:firstLineChars="200"/>
        <w:textAlignment w:val="baseline"/>
        <w:outlineLvl w:val="9"/>
        <w:rPr>
          <w:szCs w:val="32"/>
        </w:rPr>
      </w:pPr>
      <w:r>
        <w:rPr>
          <w:b/>
          <w:szCs w:val="32"/>
        </w:rPr>
        <w:t>——职业教育融合内涵发展。</w:t>
      </w:r>
      <w:r>
        <w:rPr>
          <w:szCs w:val="32"/>
        </w:rPr>
        <w:t>建成适应发展需求、产教深度融合、中职与高职衔接、普教与职教融通、体现终身教育理念的现代职业教育体系，建成渝东南国家职业技能鉴定公共实训基地，重庆旅游职业学院建成创新应用型高校，黔江区民族职业教育中心建成重庆市高水平中职学校、重庆市“双优”A类中职学校，国家级高技能人才培训基地，力争建成国家级优质中职学校，职业教育品牌进一步提升</w:t>
      </w:r>
      <w:r>
        <w:rPr>
          <w:bCs/>
          <w:szCs w:val="32"/>
        </w:rPr>
        <w:t>。</w:t>
      </w:r>
      <w:r>
        <w:rPr>
          <w:szCs w:val="32"/>
        </w:rPr>
        <w:t>职业院校在校学生达3万人以上，参加市级以上各类技能比赛获奖总数渝东南第一，建成武陵山职业教育高地和国家产教融合创新示范区。</w:t>
      </w:r>
    </w:p>
    <w:p>
      <w:pPr>
        <w:keepNext w:val="0"/>
        <w:keepLines w:val="0"/>
        <w:pageBreakBefore w:val="0"/>
        <w:widowControl/>
        <w:kinsoku/>
        <w:wordWrap/>
        <w:overflowPunct/>
        <w:topLinePunct w:val="0"/>
        <w:autoSpaceDE/>
        <w:autoSpaceDN/>
        <w:bidi w:val="0"/>
        <w:adjustRightInd/>
        <w:snapToGrid/>
        <w:spacing w:line="620" w:lineRule="exact"/>
        <w:ind w:firstLine="632" w:firstLineChars="200"/>
        <w:textAlignment w:val="baseline"/>
        <w:outlineLvl w:val="9"/>
        <w:rPr>
          <w:szCs w:val="32"/>
        </w:rPr>
      </w:pPr>
      <w:r>
        <w:rPr>
          <w:b/>
          <w:szCs w:val="32"/>
        </w:rPr>
        <w:t>——民办教育规范有序发展</w:t>
      </w:r>
      <w:r>
        <w:rPr>
          <w:szCs w:val="32"/>
        </w:rPr>
        <w:t>。民办学校办学行为更加规范，整体办学水平明显提高。重庆经贸职业学院建成优质高职院校，重庆市国维外国语学校建成渝东南示范性民办学校。民办教育在渝东南地区结构最完整、在校学生最多、育人质量最高、典型示范最强。</w:t>
      </w:r>
    </w:p>
    <w:p>
      <w:pPr>
        <w:keepNext w:val="0"/>
        <w:keepLines w:val="0"/>
        <w:pageBreakBefore w:val="0"/>
        <w:widowControl w:val="0"/>
        <w:kinsoku/>
        <w:wordWrap/>
        <w:overflowPunct/>
        <w:topLinePunct w:val="0"/>
        <w:autoSpaceDE/>
        <w:autoSpaceDN/>
        <w:bidi w:val="0"/>
        <w:adjustRightInd/>
        <w:snapToGrid/>
        <w:spacing w:line="620" w:lineRule="exact"/>
        <w:ind w:firstLine="632" w:firstLineChars="200"/>
        <w:textAlignment w:val="baseline"/>
        <w:outlineLvl w:val="9"/>
        <w:rPr>
          <w:b/>
          <w:bCs/>
          <w:sz w:val="21"/>
          <w:szCs w:val="21"/>
        </w:rPr>
      </w:pPr>
      <w:r>
        <w:rPr>
          <w:b/>
          <w:szCs w:val="32"/>
        </w:rPr>
        <w:t>——继续教育健康多元发展。</w:t>
      </w:r>
      <w:r>
        <w:rPr>
          <w:szCs w:val="32"/>
        </w:rPr>
        <w:t>构建全民终身教育学习体系，力争创建全国社区教育示范区，黔江广播电视大学建成重庆市黔江开放大学，推动重庆广播电视大学民族文化学院建设。广泛开展各级各类学习活动，完善全区终身教育公共服务平台，不断提高社区教育多元化供给水平。</w:t>
      </w:r>
    </w:p>
    <w:p>
      <w:pPr>
        <w:widowControl/>
        <w:jc w:val="center"/>
        <w:textAlignment w:val="baseline"/>
        <w:rPr>
          <w:b/>
          <w:bCs/>
          <w:sz w:val="21"/>
          <w:szCs w:val="21"/>
        </w:rPr>
      </w:pPr>
      <w:r>
        <w:rPr>
          <w:b/>
          <w:bCs/>
          <w:sz w:val="21"/>
          <w:szCs w:val="21"/>
        </w:rPr>
        <w:t>表2：黔江区教育事业“十四五”规划主要指标</w:t>
      </w:r>
    </w:p>
    <w:tbl>
      <w:tblPr>
        <w:tblStyle w:val="11"/>
        <w:tblW w:w="0" w:type="auto"/>
        <w:tblInd w:w="93" w:type="dxa"/>
        <w:tblLayout w:type="fixed"/>
        <w:tblCellMar>
          <w:top w:w="0" w:type="dxa"/>
          <w:left w:w="108" w:type="dxa"/>
          <w:bottom w:w="0" w:type="dxa"/>
          <w:right w:w="108" w:type="dxa"/>
        </w:tblCellMar>
      </w:tblPr>
      <w:tblGrid>
        <w:gridCol w:w="1159"/>
        <w:gridCol w:w="3385"/>
        <w:gridCol w:w="741"/>
        <w:gridCol w:w="1057"/>
        <w:gridCol w:w="1011"/>
        <w:gridCol w:w="985"/>
      </w:tblGrid>
      <w:tr>
        <w:tblPrEx>
          <w:tblCellMar>
            <w:top w:w="0" w:type="dxa"/>
            <w:left w:w="108" w:type="dxa"/>
            <w:bottom w:w="0" w:type="dxa"/>
            <w:right w:w="108" w:type="dxa"/>
          </w:tblCellMar>
        </w:tblPrEx>
        <w:trPr>
          <w:trHeight w:val="397" w:hRule="exact"/>
        </w:trPr>
        <w:tc>
          <w:tcPr>
            <w:tcW w:w="11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分类</w:t>
            </w: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指标</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单位</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2020年</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2025年</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属性</w:t>
            </w:r>
          </w:p>
        </w:tc>
      </w:tr>
      <w:tr>
        <w:tblPrEx>
          <w:tblCellMar>
            <w:top w:w="0" w:type="dxa"/>
            <w:left w:w="108" w:type="dxa"/>
            <w:bottom w:w="0" w:type="dxa"/>
            <w:right w:w="108" w:type="dxa"/>
          </w:tblCellMar>
        </w:tblPrEx>
        <w:trPr>
          <w:trHeight w:val="397" w:hRule="exact"/>
        </w:trPr>
        <w:tc>
          <w:tcPr>
            <w:tcW w:w="11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学前教育</w:t>
            </w: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在园幼儿数</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1.8</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2.2</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学前教育毛入园率</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90.2</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rFonts w:hint="eastAsia"/>
                <w:sz w:val="21"/>
                <w:szCs w:val="21"/>
              </w:rPr>
              <w:t>&gt;93</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公办幼儿园在园幼儿占比</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50.14</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55</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义务教育</w:t>
            </w: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在校学生数</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6.57</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7</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其中：普通小学</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4.24</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4.4</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普通初中</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2.33</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2.6</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九年义务教育巩固率</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100</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100</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约束性</w:t>
            </w:r>
          </w:p>
        </w:tc>
      </w:tr>
      <w:tr>
        <w:tblPrEx>
          <w:tblCellMar>
            <w:top w:w="0" w:type="dxa"/>
            <w:left w:w="108" w:type="dxa"/>
            <w:bottom w:w="0" w:type="dxa"/>
            <w:right w:w="108" w:type="dxa"/>
          </w:tblCellMar>
        </w:tblPrEx>
        <w:trPr>
          <w:trHeight w:val="397" w:hRule="exact"/>
        </w:trPr>
        <w:tc>
          <w:tcPr>
            <w:tcW w:w="11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高中教育</w:t>
            </w: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在校学生数</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2.38</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2.7</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其中：普通高中</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1.37</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1.5</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中等职业教育</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1.01</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1.2</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高中教育毛入学率</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98.2</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98.7</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397" w:hRule="exact"/>
        </w:trPr>
        <w:tc>
          <w:tcPr>
            <w:tcW w:w="11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高等教育</w:t>
            </w: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高等教育在校生规模</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万人</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0.95</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2</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预期性</w:t>
            </w:r>
          </w:p>
        </w:tc>
      </w:tr>
      <w:tr>
        <w:tblPrEx>
          <w:tblCellMar>
            <w:top w:w="0" w:type="dxa"/>
            <w:left w:w="108" w:type="dxa"/>
            <w:bottom w:w="0" w:type="dxa"/>
            <w:right w:w="108" w:type="dxa"/>
          </w:tblCellMar>
        </w:tblPrEx>
        <w:trPr>
          <w:trHeight w:val="636" w:hRule="exact"/>
        </w:trPr>
        <w:tc>
          <w:tcPr>
            <w:tcW w:w="11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人力资源</w:t>
            </w:r>
          </w:p>
          <w:p>
            <w:pPr>
              <w:widowControl/>
              <w:spacing w:line="260" w:lineRule="exact"/>
              <w:ind w:left="-632" w:leftChars="-200" w:firstLine="392" w:firstLineChars="190"/>
              <w:jc w:val="center"/>
              <w:textAlignment w:val="baseline"/>
              <w:rPr>
                <w:sz w:val="21"/>
                <w:szCs w:val="21"/>
              </w:rPr>
            </w:pPr>
            <w:r>
              <w:rPr>
                <w:sz w:val="21"/>
                <w:szCs w:val="21"/>
              </w:rPr>
              <w:t>开发水平</w:t>
            </w:r>
          </w:p>
        </w:tc>
        <w:tc>
          <w:tcPr>
            <w:tcW w:w="33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主要劳动年龄人口平均受教育年限</w:t>
            </w:r>
          </w:p>
        </w:tc>
        <w:tc>
          <w:tcPr>
            <w:tcW w:w="74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年</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11.5</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12</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left="-632" w:leftChars="-200" w:firstLine="392" w:firstLineChars="190"/>
              <w:jc w:val="center"/>
              <w:textAlignment w:val="baseline"/>
              <w:rPr>
                <w:sz w:val="21"/>
                <w:szCs w:val="21"/>
              </w:rPr>
            </w:pPr>
            <w:r>
              <w:rPr>
                <w:sz w:val="21"/>
                <w:szCs w:val="21"/>
              </w:rPr>
              <w:t>约束性</w:t>
            </w:r>
          </w:p>
        </w:tc>
      </w:tr>
    </w:tbl>
    <w:p>
      <w:pPr>
        <w:keepNext/>
        <w:keepLines/>
        <w:pageBreakBefore w:val="0"/>
        <w:widowControl/>
        <w:kinsoku/>
        <w:wordWrap/>
        <w:overflowPunct/>
        <w:topLinePunct w:val="0"/>
        <w:autoSpaceDE/>
        <w:autoSpaceDN/>
        <w:bidi w:val="0"/>
        <w:adjustRightInd/>
        <w:snapToGrid/>
        <w:spacing w:line="579" w:lineRule="exact"/>
        <w:ind w:firstLine="632" w:firstLineChars="200"/>
        <w:jc w:val="left"/>
        <w:textAlignment w:val="baseline"/>
        <w:outlineLvl w:val="0"/>
        <w:rPr>
          <w:rFonts w:eastAsia="方正黑体_GBK"/>
          <w:szCs w:val="32"/>
        </w:rPr>
      </w:pPr>
      <w:bookmarkStart w:id="26" w:name="_Toc84686309"/>
      <w:bookmarkStart w:id="27" w:name="_Toc7296"/>
      <w:bookmarkStart w:id="28" w:name="_Toc76328187"/>
      <w:bookmarkStart w:id="29" w:name="_Toc18522"/>
      <w:r>
        <w:rPr>
          <w:rFonts w:eastAsia="方正黑体_GBK"/>
          <w:szCs w:val="32"/>
        </w:rPr>
        <w:t>三、主要任务</w:t>
      </w:r>
      <w:bookmarkEnd w:id="26"/>
    </w:p>
    <w:bookmarkEnd w:id="27"/>
    <w:bookmarkEnd w:id="28"/>
    <w:bookmarkEnd w:id="29"/>
    <w:p>
      <w:pPr>
        <w:keepNext/>
        <w:keepLines/>
        <w:pageBreakBefore w:val="0"/>
        <w:widowControl/>
        <w:kinsoku/>
        <w:wordWrap/>
        <w:overflowPunct/>
        <w:topLinePunct w:val="0"/>
        <w:autoSpaceDE/>
        <w:autoSpaceDN/>
        <w:bidi w:val="0"/>
        <w:adjustRightInd/>
        <w:snapToGrid/>
        <w:spacing w:line="579" w:lineRule="exact"/>
        <w:ind w:firstLine="632" w:firstLineChars="200"/>
        <w:textAlignment w:val="baseline"/>
        <w:outlineLvl w:val="1"/>
        <w:rPr>
          <w:rFonts w:eastAsia="方正楷体_GBK"/>
          <w:szCs w:val="32"/>
        </w:rPr>
      </w:pPr>
      <w:bookmarkStart w:id="30" w:name="_Toc5520"/>
      <w:bookmarkStart w:id="31" w:name="_Toc76328191"/>
      <w:bookmarkStart w:id="32" w:name="_Toc32740"/>
      <w:bookmarkStart w:id="33" w:name="_Toc84686310"/>
      <w:r>
        <w:rPr>
          <w:rFonts w:eastAsia="方正楷体_GBK"/>
          <w:szCs w:val="32"/>
        </w:rPr>
        <w:t>（一）推进教育治理现代化</w:t>
      </w:r>
      <w:bookmarkEnd w:id="30"/>
      <w:bookmarkEnd w:id="31"/>
      <w:bookmarkEnd w:id="32"/>
      <w:bookmarkEnd w:id="33"/>
    </w:p>
    <w:p>
      <w:pPr>
        <w:keepNext/>
        <w:keepLines/>
        <w:pageBreakBefore w:val="0"/>
        <w:widowControl/>
        <w:kinsoku/>
        <w:wordWrap/>
        <w:overflowPunct/>
        <w:topLinePunct w:val="0"/>
        <w:autoSpaceDE/>
        <w:autoSpaceDN/>
        <w:bidi w:val="0"/>
        <w:adjustRightInd/>
        <w:snapToGrid/>
        <w:spacing w:line="579" w:lineRule="exact"/>
        <w:ind w:firstLine="632" w:firstLineChars="200"/>
        <w:textAlignment w:val="baseline"/>
        <w:outlineLvl w:val="2"/>
        <w:rPr>
          <w:b/>
          <w:szCs w:val="22"/>
        </w:rPr>
      </w:pPr>
      <w:bookmarkStart w:id="34" w:name="_Toc84686311"/>
      <w:bookmarkStart w:id="35" w:name="_Toc76328192"/>
      <w:r>
        <w:rPr>
          <w:b/>
          <w:szCs w:val="22"/>
        </w:rPr>
        <w:t>1.落实立德树人根本任务</w:t>
      </w:r>
      <w:bookmarkEnd w:id="34"/>
      <w:bookmarkEnd w:id="35"/>
    </w:p>
    <w:p>
      <w:pPr>
        <w:pageBreakBefore w:val="0"/>
        <w:widowControl/>
        <w:kinsoku/>
        <w:wordWrap/>
        <w:overflowPunct/>
        <w:topLinePunct w:val="0"/>
        <w:autoSpaceDE/>
        <w:autoSpaceDN/>
        <w:bidi w:val="0"/>
        <w:adjustRightInd/>
        <w:snapToGrid/>
        <w:spacing w:line="579" w:lineRule="exact"/>
        <w:ind w:firstLine="632" w:firstLineChars="200"/>
        <w:textAlignment w:val="baseline"/>
        <w:rPr>
          <w:szCs w:val="32"/>
        </w:rPr>
      </w:pPr>
      <w:r>
        <w:rPr>
          <w:b/>
          <w:bCs/>
          <w:szCs w:val="32"/>
        </w:rPr>
        <w:t>健全立德树人落实机制。</w:t>
      </w:r>
      <w:r>
        <w:rPr>
          <w:szCs w:val="32"/>
        </w:rPr>
        <w:t>扎实推进习近平新时代中国特色社会主义思想进教材进课堂进头脑，引导教师把教材体系、教学体系有效转化为学生的知识体系、价值体系。用好习近平新时代中国特色社会主义思想大中小学专题教育读本。强化教材育人功能，全面实施好国家统编教材。强化政治启蒙和价值观塑造，深入开展理想信念、社会主义核心价值观、中华优秀传统文化、革命传统、总体国家安全观等教育，推进红岩精神传承，引导青少年听党话、跟党走。加强“四史”教育，充分挖掘和培育丰富的教育资源，引导学生学思践悟，发扬革命传统，传承红色基因，推进理想信念教育常态化。建立健全爱国主义教育长效机制，落实《新时代爱国主义教育实施纲要》，制定中小幼阶段德育系统化培育方案，加强德育课程建设，构建中小幼一体化德育体系。健全各级党政机关、社会团体、企事业单位、社区、家庭、学校共同育人的格局。认真落实“双减”要求，细化抓好“五项管理”(作业、睡眠、手机、读物、体质</w:t>
      </w:r>
      <w:r>
        <w:rPr>
          <w:rFonts w:hint="eastAsia"/>
          <w:szCs w:val="32"/>
        </w:rPr>
        <w:t>)</w:t>
      </w:r>
      <w:r>
        <w:rPr>
          <w:szCs w:val="32"/>
        </w:rPr>
        <w:t>，促进学生全面健康成长</w:t>
      </w:r>
      <w:r>
        <w:rPr>
          <w:rFonts w:hint="eastAsia"/>
          <w:szCs w:val="32"/>
        </w:rPr>
        <w:t>。</w:t>
      </w:r>
    </w:p>
    <w:p>
      <w:pPr>
        <w:widowControl/>
        <w:ind w:firstLine="632" w:firstLineChars="200"/>
        <w:textAlignment w:val="baseline"/>
        <w:rPr>
          <w:szCs w:val="32"/>
        </w:rPr>
      </w:pPr>
      <w:r>
        <w:rPr>
          <w:b/>
          <w:bCs/>
          <w:szCs w:val="32"/>
        </w:rPr>
        <w:t>构建大中小幼一体化思政工作新格局。</w:t>
      </w:r>
      <w:r>
        <w:rPr>
          <w:szCs w:val="32"/>
        </w:rPr>
        <w:t>深入实施高等学校思想政治工作质量提升工程，大力推进“三全育人</w:t>
      </w:r>
      <w:r>
        <w:rPr>
          <w:szCs w:val="32"/>
          <w:vertAlign w:val="superscript"/>
        </w:rPr>
        <w:footnoteReference w:id="0"/>
      </w:r>
      <w:r>
        <w:rPr>
          <w:szCs w:val="32"/>
        </w:rPr>
        <w:t>”综合改革，推进大学生社会实践活动与思政课实践教学相融合，大力加强和创新开展网络思想政治教育，拓宽网络育人阵地。健全完善中小幼实践育人体系，增强学生“四个自信”和道德实践能力，在中小学深入开展“学习新思想、做好接班人”“开学第一课”等主题教育。创新职业学校思想政治教育模式，推动职业院校创新开展“文明风采”等德育实践活动。开展英雄模范、名师名家、学术带头人进校园活动。积极探索“一站式”学生社区综合管理模式改革。建立健全各类学校“党建带团建促队建”机制，构建党、团、队相衔接的思想政治教育体系，开展特色党团主题教育</w:t>
      </w:r>
      <w:bookmarkStart w:id="132" w:name="_GoBack"/>
      <w:bookmarkEnd w:id="132"/>
      <w:r>
        <w:rPr>
          <w:szCs w:val="32"/>
        </w:rPr>
        <w:t>。加强学生社团管理，积极开展形式多样、格调高雅、健康向上的社团活动。强化一线学生工作，明确各级各类学校领导干部和教师参与学生工作的具体要求。</w:t>
      </w:r>
      <w:r>
        <w:rPr>
          <w:rFonts w:hint="eastAsia"/>
          <w:bCs/>
          <w:szCs w:val="32"/>
        </w:rPr>
        <w:t>深化</w:t>
      </w:r>
      <w:r>
        <w:rPr>
          <w:bCs/>
          <w:szCs w:val="32"/>
        </w:rPr>
        <w:t>学校国防教育</w:t>
      </w:r>
      <w:r>
        <w:rPr>
          <w:rFonts w:hint="eastAsia"/>
          <w:bCs/>
          <w:szCs w:val="32"/>
        </w:rPr>
        <w:t>，加强学校军事课和学生军事训练的统筹管理和指导，将国防教育内容有机融入各级各类教育课程，推进国防教育特色示范学校建设，拓展丰富国防教育实践活动，增强青少年学生国防观念和忧患意识。加大军地合力培养国防教育教师和军事理论课教师力度，加强军地人才共育共用。</w:t>
      </w:r>
    </w:p>
    <w:p>
      <w:pPr>
        <w:widowControl/>
        <w:spacing w:line="579" w:lineRule="exact"/>
        <w:ind w:firstLine="632" w:firstLineChars="200"/>
        <w:textAlignment w:val="baseline"/>
        <w:rPr>
          <w:szCs w:val="32"/>
        </w:rPr>
      </w:pPr>
      <w:r>
        <w:rPr>
          <w:b/>
          <w:bCs/>
          <w:szCs w:val="32"/>
        </w:rPr>
        <w:t>坚持“五育并举”全面发展。</w:t>
      </w:r>
      <w:bookmarkStart w:id="36" w:name="_Toc19019"/>
      <w:bookmarkStart w:id="37" w:name="_Toc7489"/>
      <w:r>
        <w:rPr>
          <w:bCs/>
          <w:szCs w:val="32"/>
        </w:rPr>
        <w:t>大力推进德智体美劳五育并举、五育融合，促进学生全面发展、健康成长。</w:t>
      </w:r>
      <w:r>
        <w:rPr>
          <w:szCs w:val="32"/>
        </w:rPr>
        <w:t>突出德育实效，打造中小学生社会实践大课堂，充分发挥爱国主义、优秀传统文化等教育基地和各类公共文化设施与自然资源的重要育人作用。强化对网络游戏、微视频等的价值引领与管控，创造绿色健康网上空间。提升智育水平，严格按照国家课程方案和课程标准实施教学，确保学生达到国家规定学业质量标准。加强科学教育和实验教学，广泛开展多种形式的读书活动。加强监测和督导，坚决防止学生学业负担过重。强化体育锻炼，坚持健康第一，实施学校体育固本行动。完善“健康知识+基本运动技能+专项运动技能”的学校体育教学模式，推进中华传统体育项目进校园、进课程，健全体育竞赛和人才培养体系，建立学生日常参与、体质监测和运动技能测试相结合的考查机制。增强美育熏陶，深化美育改革，加强中小学艺术特色学校建设，实施学校美育提升行动，完善学科“审美基础+技能+审美创新”等教学方式，严格落实音乐、美术、书法等课程，结合地方文化设立艺术特色课程，大力开展中华优秀文化艺术、地方传统文化艺术、非遗文化艺术进校园活动，帮助每位学生学会1至2项艺术技能。加强劳动教育，丰富完善劳动教育清单，建设一批实习和劳动实践基地，广泛开展劳动教育实践活动，引导学生崇尚劳动、尊重劳动，将学生的劳动教育纳入综合素质评价内容，加强劳动素养发展状况监测，建立健全劳动教育评价体系。</w:t>
      </w:r>
    </w:p>
    <w:p>
      <w:pPr>
        <w:widowControl/>
        <w:spacing w:line="579" w:lineRule="exact"/>
        <w:ind w:firstLine="632" w:firstLineChars="200"/>
        <w:textAlignment w:val="baseline"/>
        <w:rPr>
          <w:szCs w:val="32"/>
        </w:rPr>
      </w:pPr>
      <w:r>
        <w:rPr>
          <w:rFonts w:hint="eastAsia"/>
          <w:b/>
          <w:szCs w:val="32"/>
        </w:rPr>
        <w:t>提升青少年</w:t>
      </w:r>
      <w:r>
        <w:rPr>
          <w:b/>
          <w:szCs w:val="32"/>
        </w:rPr>
        <w:t>学生健康素养。</w:t>
      </w:r>
      <w:r>
        <w:rPr>
          <w:rFonts w:hint="eastAsia"/>
          <w:szCs w:val="32"/>
        </w:rPr>
        <w:t>树立</w:t>
      </w:r>
      <w:r>
        <w:rPr>
          <w:szCs w:val="32"/>
        </w:rPr>
        <w:t>大</w:t>
      </w:r>
      <w:r>
        <w:rPr>
          <w:rFonts w:hint="eastAsia"/>
          <w:szCs w:val="32"/>
        </w:rPr>
        <w:t>卫生</w:t>
      </w:r>
      <w:r>
        <w:rPr>
          <w:szCs w:val="32"/>
        </w:rPr>
        <w:t>、大健康</w:t>
      </w:r>
      <w:r>
        <w:rPr>
          <w:rFonts w:hint="eastAsia"/>
          <w:szCs w:val="32"/>
        </w:rPr>
        <w:t>理念</w:t>
      </w:r>
      <w:r>
        <w:rPr>
          <w:szCs w:val="32"/>
        </w:rPr>
        <w:t>，把健康融入教育政策</w:t>
      </w:r>
      <w:r>
        <w:rPr>
          <w:rFonts w:hint="eastAsia"/>
          <w:szCs w:val="32"/>
        </w:rPr>
        <w:t>，</w:t>
      </w:r>
      <w:r>
        <w:rPr>
          <w:szCs w:val="32"/>
        </w:rPr>
        <w:t>贯穿教育改革</w:t>
      </w:r>
      <w:r>
        <w:rPr>
          <w:rFonts w:hint="eastAsia"/>
          <w:szCs w:val="32"/>
        </w:rPr>
        <w:t>发展</w:t>
      </w:r>
      <w:r>
        <w:rPr>
          <w:szCs w:val="32"/>
        </w:rPr>
        <w:t>各项工作。设立区中小学卫生保健所，加大</w:t>
      </w:r>
      <w:r>
        <w:rPr>
          <w:rFonts w:hint="eastAsia"/>
          <w:szCs w:val="32"/>
        </w:rPr>
        <w:t>学校</w:t>
      </w:r>
      <w:r>
        <w:rPr>
          <w:szCs w:val="32"/>
        </w:rPr>
        <w:t>卫生基础设施建设，</w:t>
      </w:r>
      <w:r>
        <w:rPr>
          <w:rFonts w:hint="eastAsia"/>
          <w:szCs w:val="32"/>
        </w:rPr>
        <w:t>加强高校</w:t>
      </w:r>
      <w:r>
        <w:rPr>
          <w:szCs w:val="32"/>
        </w:rPr>
        <w:t>校医院、门诊部，中小学</w:t>
      </w:r>
      <w:r>
        <w:rPr>
          <w:rFonts w:hint="eastAsia"/>
          <w:szCs w:val="32"/>
        </w:rPr>
        <w:t>卫生室</w:t>
      </w:r>
      <w:r>
        <w:rPr>
          <w:szCs w:val="32"/>
        </w:rPr>
        <w:t>（</w:t>
      </w:r>
      <w:r>
        <w:rPr>
          <w:rFonts w:hint="eastAsia"/>
          <w:szCs w:val="32"/>
        </w:rPr>
        <w:t>保健室</w:t>
      </w:r>
      <w:r>
        <w:rPr>
          <w:szCs w:val="32"/>
        </w:rPr>
        <w:t>）</w:t>
      </w:r>
      <w:r>
        <w:rPr>
          <w:rFonts w:hint="eastAsia"/>
          <w:szCs w:val="32"/>
        </w:rPr>
        <w:t>和</w:t>
      </w:r>
      <w:r>
        <w:rPr>
          <w:szCs w:val="32"/>
        </w:rPr>
        <w:t>校医、保健教师队伍建设</w:t>
      </w:r>
      <w:r>
        <w:rPr>
          <w:rFonts w:hint="eastAsia"/>
          <w:szCs w:val="32"/>
        </w:rPr>
        <w:t>。深入</w:t>
      </w:r>
      <w:r>
        <w:rPr>
          <w:szCs w:val="32"/>
        </w:rPr>
        <w:t>推进医</w:t>
      </w:r>
      <w:r>
        <w:rPr>
          <w:rFonts w:hint="eastAsia"/>
          <w:szCs w:val="32"/>
        </w:rPr>
        <w:t>教结合</w:t>
      </w:r>
      <w:r>
        <w:rPr>
          <w:szCs w:val="32"/>
        </w:rPr>
        <w:t>，提升</w:t>
      </w:r>
      <w:r>
        <w:rPr>
          <w:rFonts w:hint="eastAsia"/>
          <w:szCs w:val="32"/>
        </w:rPr>
        <w:t>学校</w:t>
      </w:r>
      <w:r>
        <w:rPr>
          <w:szCs w:val="32"/>
        </w:rPr>
        <w:t>卫生治理能力。积极</w:t>
      </w:r>
      <w:r>
        <w:rPr>
          <w:rFonts w:hint="eastAsia"/>
          <w:szCs w:val="32"/>
        </w:rPr>
        <w:t>推进</w:t>
      </w:r>
      <w:r>
        <w:rPr>
          <w:szCs w:val="32"/>
        </w:rPr>
        <w:t>学校卫生与健康教育特色学校建设，在近视防控、传染病防控、健康教育、</w:t>
      </w:r>
      <w:r>
        <w:rPr>
          <w:rFonts w:hint="eastAsia"/>
          <w:szCs w:val="32"/>
        </w:rPr>
        <w:t>校园食品安全</w:t>
      </w:r>
      <w:r>
        <w:rPr>
          <w:szCs w:val="32"/>
        </w:rPr>
        <w:t>等方面树立一批典型。</w:t>
      </w:r>
      <w:r>
        <w:rPr>
          <w:rFonts w:hint="eastAsia"/>
          <w:szCs w:val="32"/>
        </w:rPr>
        <w:t>大力</w:t>
      </w:r>
      <w:r>
        <w:rPr>
          <w:szCs w:val="32"/>
        </w:rPr>
        <w:t>推进中小学健康促进行动，深化“</w:t>
      </w:r>
      <w:r>
        <w:rPr>
          <w:rFonts w:hint="eastAsia"/>
          <w:szCs w:val="32"/>
        </w:rPr>
        <w:t>互联网+</w:t>
      </w:r>
      <w:r>
        <w:rPr>
          <w:szCs w:val="32"/>
        </w:rPr>
        <w:t>”</w:t>
      </w:r>
      <w:r>
        <w:rPr>
          <w:rFonts w:hint="eastAsia"/>
          <w:szCs w:val="32"/>
        </w:rPr>
        <w:t>健康</w:t>
      </w:r>
      <w:r>
        <w:rPr>
          <w:szCs w:val="32"/>
        </w:rPr>
        <w:t>教育</w:t>
      </w:r>
      <w:r>
        <w:rPr>
          <w:rFonts w:hint="eastAsia"/>
          <w:szCs w:val="32"/>
        </w:rPr>
        <w:t>，</w:t>
      </w:r>
      <w:r>
        <w:rPr>
          <w:szCs w:val="32"/>
        </w:rPr>
        <w:t>构建涵盖</w:t>
      </w:r>
      <w:r>
        <w:rPr>
          <w:rFonts w:hint="eastAsia"/>
          <w:szCs w:val="32"/>
        </w:rPr>
        <w:t>新时代</w:t>
      </w:r>
      <w:r>
        <w:rPr>
          <w:szCs w:val="32"/>
        </w:rPr>
        <w:t>学校卫生与健康教育</w:t>
      </w:r>
      <w:r>
        <w:rPr>
          <w:rFonts w:hint="eastAsia"/>
          <w:szCs w:val="32"/>
        </w:rPr>
        <w:t>全</w:t>
      </w:r>
      <w:r>
        <w:rPr>
          <w:szCs w:val="32"/>
        </w:rPr>
        <w:t>口径、全过程、全方位的一体化</w:t>
      </w:r>
      <w:r>
        <w:rPr>
          <w:rFonts w:hint="eastAsia"/>
          <w:szCs w:val="32"/>
        </w:rPr>
        <w:t>智慧</w:t>
      </w:r>
      <w:r>
        <w:rPr>
          <w:szCs w:val="32"/>
        </w:rPr>
        <w:t>管理系统</w:t>
      </w:r>
      <w:r>
        <w:rPr>
          <w:rFonts w:hint="eastAsia"/>
          <w:szCs w:val="32"/>
        </w:rPr>
        <w:t>，</w:t>
      </w:r>
      <w:r>
        <w:rPr>
          <w:szCs w:val="32"/>
        </w:rPr>
        <w:t>深入开展“</w:t>
      </w:r>
      <w:r>
        <w:rPr>
          <w:rFonts w:hint="eastAsia"/>
          <w:szCs w:val="32"/>
        </w:rPr>
        <w:t>师生</w:t>
      </w:r>
      <w:r>
        <w:rPr>
          <w:szCs w:val="32"/>
        </w:rPr>
        <w:t>健康</w:t>
      </w:r>
      <w:r>
        <w:rPr>
          <w:rFonts w:hint="eastAsia"/>
          <w:szCs w:val="32"/>
        </w:rPr>
        <w:t>·中国</w:t>
      </w:r>
      <w:r>
        <w:rPr>
          <w:szCs w:val="32"/>
        </w:rPr>
        <w:t>健康”</w:t>
      </w:r>
      <w:r>
        <w:rPr>
          <w:rFonts w:hint="eastAsia"/>
          <w:szCs w:val="32"/>
        </w:rPr>
        <w:t>主题</w:t>
      </w:r>
      <w:r>
        <w:rPr>
          <w:szCs w:val="32"/>
        </w:rPr>
        <w:t>健康教育活动，</w:t>
      </w:r>
      <w:r>
        <w:rPr>
          <w:rFonts w:hint="eastAsia"/>
          <w:szCs w:val="32"/>
        </w:rPr>
        <w:t>加强学校</w:t>
      </w:r>
      <w:r>
        <w:rPr>
          <w:szCs w:val="32"/>
        </w:rPr>
        <w:t>心理危机管理与干预，加强人文关怀和心理疏导，全面提高学生健康素养。</w:t>
      </w:r>
    </w:p>
    <w:p>
      <w:pPr>
        <w:autoSpaceDE w:val="0"/>
        <w:autoSpaceDN w:val="0"/>
        <w:adjustRightInd w:val="0"/>
        <w:spacing w:line="579" w:lineRule="exact"/>
        <w:ind w:firstLine="632" w:firstLineChars="200"/>
        <w:rPr>
          <w:rFonts w:hint="eastAsia"/>
          <w:szCs w:val="32"/>
        </w:rPr>
      </w:pPr>
      <w:r>
        <w:rPr>
          <w:b/>
          <w:bCs/>
          <w:szCs w:val="32"/>
        </w:rPr>
        <w:t>增强家校社协同育人合力。</w:t>
      </w:r>
      <w:r>
        <w:rPr>
          <w:szCs w:val="32"/>
        </w:rPr>
        <w:t>提升家庭教育科学化水平，引导家长言传身教，注重传承良好家风，积极发挥家庭第一课堂重要作用。探索建立家校共育机制，规范家长、学校、家长委员会建设，推动教师家访制度化、常态化，增强家庭教育针对性和实效性。推进家校共同加强中小学生作业、睡眠、手机、读物、体质管理，促进学生健康成长。积极组织开展公益性家庭教育指导活动，推进家庭教育服务专业化发展。充分发挥校内外自然资源、红色资源、文化资源、体育资源、科技资源、国防资源和企事业单位资源的育人作用，全面推进图书馆、科技馆、体育馆等公共场馆免费或优惠向学生开放。探索中小学社会实践、特长培养、研学旅行等方面与社会力量开展合作，丰富校外教育内容与形式，促进校外教育与学校教育、家庭教育的有效衔接。</w:t>
      </w:r>
    </w:p>
    <w:p>
      <w:pPr>
        <w:autoSpaceDE w:val="0"/>
        <w:autoSpaceDN w:val="0"/>
        <w:adjustRightInd w:val="0"/>
        <w:spacing w:line="300" w:lineRule="exact"/>
        <w:ind w:firstLine="632" w:firstLineChars="200"/>
        <w:rPr>
          <w:szCs w:val="32"/>
        </w:rPr>
      </w:pP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jc w:val="center"/>
        </w:trPr>
        <w:tc>
          <w:tcPr>
            <w:tcW w:w="802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79" w:lineRule="exact"/>
              <w:ind w:firstLine="412" w:firstLineChars="200"/>
              <w:jc w:val="center"/>
              <w:textAlignment w:val="baseline"/>
              <w:rPr>
                <w:sz w:val="21"/>
                <w:szCs w:val="22"/>
              </w:rPr>
            </w:pPr>
            <w:bookmarkStart w:id="38" w:name="_Toc76329642"/>
            <w:r>
              <w:rPr>
                <w:b/>
                <w:bCs/>
                <w:kern w:val="0"/>
                <w:sz w:val="21"/>
                <w:szCs w:val="21"/>
                <w:lang w:bidi="ar"/>
              </w:rPr>
              <w:t>专栏1：</w:t>
            </w:r>
            <w:bookmarkEnd w:id="38"/>
            <w:r>
              <w:rPr>
                <w:b/>
                <w:bCs/>
                <w:kern w:val="0"/>
                <w:sz w:val="21"/>
                <w:szCs w:val="21"/>
                <w:lang w:bidi="ar"/>
              </w:rPr>
              <w:t>立德树人工程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8" w:hRule="atLeast"/>
          <w:jc w:val="center"/>
        </w:trPr>
        <w:tc>
          <w:tcPr>
            <w:tcW w:w="802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firstLine="412" w:firstLineChars="200"/>
              <w:textAlignment w:val="baseline"/>
              <w:rPr>
                <w:sz w:val="21"/>
                <w:szCs w:val="22"/>
              </w:rPr>
            </w:pPr>
            <w:r>
              <w:rPr>
                <w:sz w:val="21"/>
                <w:szCs w:val="22"/>
              </w:rPr>
              <w:t>构建中小幼一体化德育体系，制定中小幼阶段德育系统化培育方案。建设一批“三全育人”示范校，构建各级党政机关、社会团体、企事业单位及街道、社区、镇村、家庭、学校共同育人的格局。完善从学前教育到高中阶段教育的素质教育实施机制，健全素质教育评估报告制度，建立素质教育监测评估数据库，健全素质教育强弱项机制，加强学生心理健康防护网建设，加快建设社会实践教育基地，推进研学旅行实验区建设。加强劳动教育。到2025年，创建市级艺术特色学校5所、立德树人特色项目实践研究基地2个、全国青少年校园足球特色学校6所、足球特色幼儿园4所。持续深入开展创建全国文明城区志愿服务活动。</w:t>
            </w:r>
          </w:p>
        </w:tc>
      </w:tr>
    </w:tbl>
    <w:p>
      <w:pPr>
        <w:keepNext/>
        <w:keepLines/>
        <w:widowControl/>
        <w:spacing w:line="579" w:lineRule="exact"/>
        <w:ind w:firstLine="632" w:firstLineChars="200"/>
        <w:textAlignment w:val="baseline"/>
        <w:outlineLvl w:val="2"/>
        <w:rPr>
          <w:b/>
          <w:szCs w:val="22"/>
        </w:rPr>
      </w:pPr>
      <w:bookmarkStart w:id="39" w:name="_Toc84686312"/>
      <w:bookmarkStart w:id="40" w:name="_Toc76328193"/>
      <w:r>
        <w:rPr>
          <w:b/>
          <w:szCs w:val="22"/>
        </w:rPr>
        <w:t>2.章程引领制度建设</w:t>
      </w:r>
      <w:bookmarkEnd w:id="36"/>
      <w:bookmarkEnd w:id="37"/>
      <w:bookmarkEnd w:id="39"/>
      <w:bookmarkEnd w:id="40"/>
    </w:p>
    <w:p>
      <w:pPr>
        <w:widowControl/>
        <w:spacing w:line="579" w:lineRule="exact"/>
        <w:ind w:firstLine="632" w:firstLineChars="200"/>
        <w:textAlignment w:val="baseline"/>
        <w:rPr>
          <w:kern w:val="0"/>
          <w:szCs w:val="32"/>
        </w:rPr>
      </w:pPr>
      <w:bookmarkStart w:id="41" w:name="_Toc30160"/>
      <w:bookmarkStart w:id="42" w:name="_Toc13657"/>
      <w:bookmarkStart w:id="43" w:name="_Toc76328194"/>
      <w:r>
        <w:rPr>
          <w:b/>
          <w:bCs/>
          <w:szCs w:val="32"/>
        </w:rPr>
        <w:t>完善学校现代治理体系。</w:t>
      </w:r>
      <w:r>
        <w:rPr>
          <w:kern w:val="0"/>
          <w:szCs w:val="32"/>
        </w:rPr>
        <w:t>全面落实依法治校，积极构建依法办学、自主管理、民主监督、社会参与的现代学校制度，增强学校办学活力。建立健全学校、家庭、社区协作共育机制。</w:t>
      </w:r>
    </w:p>
    <w:p>
      <w:pPr>
        <w:widowControl/>
        <w:spacing w:line="579" w:lineRule="exact"/>
        <w:ind w:firstLine="632" w:firstLineChars="200"/>
        <w:textAlignment w:val="baseline"/>
        <w:rPr>
          <w:kern w:val="0"/>
          <w:szCs w:val="32"/>
        </w:rPr>
      </w:pPr>
      <w:r>
        <w:rPr>
          <w:b/>
          <w:bCs/>
          <w:szCs w:val="32"/>
        </w:rPr>
        <w:t>完善学校内部治理结构。</w:t>
      </w:r>
      <w:r>
        <w:rPr>
          <w:kern w:val="0"/>
          <w:szCs w:val="32"/>
        </w:rPr>
        <w:t>加强学校章程和配套制度建设，推进学校内部治理改革。</w:t>
      </w:r>
      <w:r>
        <w:rPr>
          <w:szCs w:val="32"/>
        </w:rPr>
        <w:t>建立章程执行和监督评价机制。到2025年，全面实现“一校一章程，章程有特色；校校有制度，制度能落实”的目标。</w:t>
      </w:r>
    </w:p>
    <w:p>
      <w:pPr>
        <w:keepNext/>
        <w:keepLines/>
        <w:widowControl/>
        <w:spacing w:line="579" w:lineRule="exact"/>
        <w:ind w:firstLine="632" w:firstLineChars="200"/>
        <w:textAlignment w:val="baseline"/>
        <w:outlineLvl w:val="2"/>
        <w:rPr>
          <w:b/>
          <w:szCs w:val="22"/>
        </w:rPr>
      </w:pPr>
      <w:bookmarkStart w:id="44" w:name="_Toc84686313"/>
      <w:r>
        <w:rPr>
          <w:b/>
          <w:szCs w:val="22"/>
        </w:rPr>
        <w:t>3.改革激发教育活力</w:t>
      </w:r>
      <w:bookmarkEnd w:id="41"/>
      <w:bookmarkEnd w:id="42"/>
      <w:bookmarkEnd w:id="43"/>
      <w:bookmarkEnd w:id="44"/>
    </w:p>
    <w:p>
      <w:pPr>
        <w:widowControl/>
        <w:spacing w:line="579" w:lineRule="exact"/>
        <w:ind w:firstLine="632" w:firstLineChars="200"/>
        <w:textAlignment w:val="baseline"/>
        <w:rPr>
          <w:szCs w:val="32"/>
        </w:rPr>
      </w:pPr>
      <w:r>
        <w:rPr>
          <w:b/>
          <w:bCs/>
          <w:szCs w:val="32"/>
        </w:rPr>
        <w:t>深化教育管理体制改革。</w:t>
      </w:r>
      <w:r>
        <w:rPr>
          <w:szCs w:val="32"/>
        </w:rPr>
        <w:t>完善区域教育治理体系。成立“一院一所一中心”，整合原教科所、技装中心、区教师进修学校（区电大）创建黔江区教师进修学院，承担区域教科研、培训、教育装备、社区教育等教育职能。基于学生体质健康和疫情防控工作要求，独立设立区中小学卫生保健所，实现学校卫生机构全覆盖。成立黔江区基础教育质量监测评估中心，构建教育督导、监测、评估一体化体系。继续深化集团化办学，优化“1+N”城乡教育一体化协调发展新机制，以管理、科研、质量为核心，实现资源共享、研训联动、捆绑发展，全面推进学校内涵发展和质量提升，</w:t>
      </w:r>
      <w:r>
        <w:rPr>
          <w:kern w:val="0"/>
          <w:szCs w:val="32"/>
        </w:rPr>
        <w:t>为推动义务教育优质均衡发展奠定基础。</w:t>
      </w:r>
      <w:r>
        <w:rPr>
          <w:szCs w:val="32"/>
        </w:rPr>
        <w:t>建立与集团化办学相适应的领导机制、资源配置机制、考核评价机制。</w:t>
      </w:r>
    </w:p>
    <w:p>
      <w:pPr>
        <w:widowControl/>
        <w:spacing w:line="579" w:lineRule="exact"/>
        <w:ind w:firstLine="632" w:firstLineChars="200"/>
        <w:textAlignment w:val="baseline"/>
        <w:rPr>
          <w:szCs w:val="32"/>
        </w:rPr>
      </w:pPr>
      <w:r>
        <w:rPr>
          <w:b/>
          <w:bCs/>
          <w:szCs w:val="32"/>
        </w:rPr>
        <w:t>深化教育人事制度改革</w:t>
      </w:r>
      <w:r>
        <w:rPr>
          <w:rFonts w:eastAsia="方正黑体_GBK"/>
          <w:szCs w:val="32"/>
        </w:rPr>
        <w:t>。</w:t>
      </w:r>
      <w:r>
        <w:rPr>
          <w:szCs w:val="32"/>
        </w:rPr>
        <w:t>推行校</w:t>
      </w:r>
      <w:r>
        <w:rPr>
          <w:rFonts w:hint="eastAsia"/>
          <w:szCs w:val="32"/>
        </w:rPr>
        <w:t>（</w:t>
      </w:r>
      <w:r>
        <w:rPr>
          <w:szCs w:val="32"/>
        </w:rPr>
        <w:t>园</w:t>
      </w:r>
      <w:r>
        <w:rPr>
          <w:rFonts w:hint="eastAsia"/>
          <w:szCs w:val="32"/>
        </w:rPr>
        <w:t>）</w:t>
      </w:r>
      <w:r>
        <w:rPr>
          <w:szCs w:val="32"/>
        </w:rPr>
        <w:t>长任期目标制、职级制和教师“区管校聘”改革。</w:t>
      </w:r>
      <w:r>
        <w:rPr>
          <w:kern w:val="0"/>
          <w:szCs w:val="32"/>
        </w:rPr>
        <w:t>坚持定向培养、公开招聘等为边远乡镇学校补充教师，</w:t>
      </w:r>
      <w:r>
        <w:rPr>
          <w:szCs w:val="32"/>
        </w:rPr>
        <w:t>试行高中阶段学校面向重点大学招聘优秀毕业生，城区义务教育学校招聘优秀应届本科师范毕业生。</w:t>
      </w:r>
      <w:r>
        <w:rPr>
          <w:kern w:val="0"/>
          <w:szCs w:val="32"/>
        </w:rPr>
        <w:t>完善学校管理干部教职工交流轮岗办法，定期选派优秀教师和骨干教师到农村学校支教。</w:t>
      </w:r>
      <w:r>
        <w:rPr>
          <w:szCs w:val="32"/>
        </w:rPr>
        <w:t>完善中等职业学校专任教师能力标准，支持职教中心从企事业单位选调、招聘高学历、高技能等优秀人才担任教师。深化教师职称评聘和评价制度改革，加强聘后管理和考核评价。创新师培干训，健全完善教师全员培训、校（园）长岗位培训</w:t>
      </w:r>
      <w:r>
        <w:rPr>
          <w:rFonts w:hint="eastAsia"/>
          <w:szCs w:val="32"/>
        </w:rPr>
        <w:t>和</w:t>
      </w:r>
      <w:r>
        <w:rPr>
          <w:szCs w:val="32"/>
        </w:rPr>
        <w:t>骨干教师、教研员研训等制度。</w:t>
      </w:r>
    </w:p>
    <w:p>
      <w:pPr>
        <w:widowControl/>
        <w:spacing w:line="579" w:lineRule="exact"/>
        <w:ind w:firstLine="632" w:firstLineChars="200"/>
        <w:textAlignment w:val="baseline"/>
        <w:rPr>
          <w:kern w:val="0"/>
          <w:szCs w:val="32"/>
        </w:rPr>
      </w:pPr>
      <w:r>
        <w:rPr>
          <w:b/>
          <w:bCs/>
          <w:kern w:val="0"/>
          <w:szCs w:val="32"/>
        </w:rPr>
        <w:t>深化招生考试制度改革。</w:t>
      </w:r>
      <w:r>
        <w:rPr>
          <w:szCs w:val="32"/>
        </w:rPr>
        <w:t>实施中小学阳光招生。严格</w:t>
      </w:r>
      <w:r>
        <w:rPr>
          <w:kern w:val="0"/>
          <w:szCs w:val="32"/>
        </w:rPr>
        <w:t>执行义务教育免试就近入学政策</w:t>
      </w:r>
      <w:r>
        <w:rPr>
          <w:bCs/>
          <w:szCs w:val="32"/>
        </w:rPr>
        <w:t>。</w:t>
      </w:r>
      <w:r>
        <w:rPr>
          <w:szCs w:val="32"/>
        </w:rPr>
        <w:t>完善进城务工经商人员子女入学办法，加快实现随迁子女入学待遇同城化。民办学校招生纳入审批地统一管理，招生计划由区教委统一公布，与公办学校同步开展招生录取工作。</w:t>
      </w:r>
      <w:r>
        <w:rPr>
          <w:kern w:val="0"/>
          <w:szCs w:val="32"/>
        </w:rPr>
        <w:t>改进高中阶段学校考试招生方式，逐步建立基于初中学业水平考试成绩</w:t>
      </w:r>
      <w:r>
        <w:rPr>
          <w:rFonts w:hint="eastAsia"/>
          <w:kern w:val="0"/>
          <w:szCs w:val="32"/>
          <w:lang w:eastAsia="zh-CN"/>
        </w:rPr>
        <w:t>，</w:t>
      </w:r>
      <w:r>
        <w:rPr>
          <w:kern w:val="0"/>
          <w:szCs w:val="32"/>
        </w:rPr>
        <w:t>结合综合素质评价的普通高中招生录取机制，合理分配普通高中招生名额。进一步完善随迁人员子女就学和在流入地升学考试的政策措施。落实高等职业教育分类考试招生制度。落实中职、高职联合招收初中毕业生贯通培养技术技能人才机制。</w:t>
      </w:r>
    </w:p>
    <w:p>
      <w:pPr>
        <w:widowControl/>
        <w:spacing w:line="579" w:lineRule="exact"/>
        <w:ind w:firstLine="632" w:firstLineChars="200"/>
        <w:textAlignment w:val="baseline"/>
        <w:rPr>
          <w:kern w:val="0"/>
          <w:szCs w:val="32"/>
        </w:rPr>
      </w:pPr>
      <w:r>
        <w:rPr>
          <w:b/>
          <w:bCs/>
          <w:kern w:val="0"/>
          <w:szCs w:val="32"/>
        </w:rPr>
        <w:t>深化新时代教育评价改革。</w:t>
      </w:r>
      <w:r>
        <w:rPr>
          <w:kern w:val="0"/>
          <w:szCs w:val="32"/>
        </w:rPr>
        <w:t>坚持以立德树人为主线，以破“五唯”为导向，以五类主体为抓手，做到举措破立并举、任务协同推进，建立有利于推动新时代教育事业高质量发展的教育评价体系。推动党委和政府教育工作评价改革，加强党对教育工作的全面领导，坚决纠正片面追求升学率行为，推进乡镇街道、区级部门和有关单位科学履行教育职责，建立乡镇街道及区委教育工作领导小组成员单位履职述职制度。推动学校评价改革，完善幼儿园评价、改进中小学评价、健全职业教育评价，促进学校立德树人落实机制更加完善。推进教师评价改革，坚持把师德师风作为第一标准，突出教师教育教学实绩，强化一线学生工作，规范人才称号，克服唯学历、唯职称、唯论文等倾向。推进学生评价改革，完善德育评价、强化体育评价、改进美育评价、加强劳动教育评价，严格学生学业标准，促进学生全面发展。推进社会选人用人评价改革，树立正确用人导向，落实平等就业要求，改变人才“高消费”状况，形成</w:t>
      </w:r>
      <w:r>
        <w:rPr>
          <w:rFonts w:hint="eastAsia"/>
          <w:kern w:val="0"/>
          <w:szCs w:val="32"/>
          <w:lang w:eastAsia="zh-CN"/>
        </w:rPr>
        <w:t>“</w:t>
      </w:r>
      <w:r>
        <w:rPr>
          <w:kern w:val="0"/>
          <w:szCs w:val="32"/>
        </w:rPr>
        <w:t>不拘一格降人</w:t>
      </w:r>
      <w:r>
        <w:rPr>
          <w:rFonts w:hint="eastAsia"/>
          <w:kern w:val="0"/>
          <w:szCs w:val="32"/>
          <w:lang w:eastAsia="zh-CN"/>
        </w:rPr>
        <w:t>”</w:t>
      </w:r>
      <w:r>
        <w:rPr>
          <w:kern w:val="0"/>
          <w:szCs w:val="32"/>
        </w:rPr>
        <w:t>才的良好局面。</w:t>
      </w:r>
    </w:p>
    <w:p>
      <w:pPr>
        <w:keepNext/>
        <w:keepLines/>
        <w:widowControl/>
        <w:spacing w:line="579" w:lineRule="exact"/>
        <w:ind w:firstLine="632" w:firstLineChars="200"/>
        <w:textAlignment w:val="baseline"/>
        <w:outlineLvl w:val="2"/>
        <w:rPr>
          <w:b/>
          <w:szCs w:val="22"/>
        </w:rPr>
      </w:pPr>
      <w:bookmarkStart w:id="45" w:name="_Toc76328195"/>
      <w:bookmarkStart w:id="46" w:name="_Toc84686314"/>
      <w:r>
        <w:rPr>
          <w:b/>
          <w:szCs w:val="22"/>
        </w:rPr>
        <w:t>4.开放促进协同创新</w:t>
      </w:r>
      <w:bookmarkEnd w:id="45"/>
      <w:bookmarkEnd w:id="46"/>
    </w:p>
    <w:p>
      <w:pPr>
        <w:widowControl/>
        <w:spacing w:line="579" w:lineRule="exact"/>
        <w:ind w:firstLine="632" w:firstLineChars="200"/>
        <w:textAlignment w:val="baseline"/>
        <w:rPr>
          <w:kern w:val="0"/>
          <w:szCs w:val="32"/>
        </w:rPr>
      </w:pPr>
      <w:r>
        <w:rPr>
          <w:b/>
          <w:bCs/>
          <w:kern w:val="0"/>
          <w:szCs w:val="32"/>
        </w:rPr>
        <w:t>多层次宽领域交流合作。</w:t>
      </w:r>
      <w:r>
        <w:rPr>
          <w:kern w:val="0"/>
          <w:szCs w:val="32"/>
        </w:rPr>
        <w:t>根据渝东南武陵山区城镇群发展需要，开展多层次、宽领域的教育交流与合作。深化与重庆主城、山东日照优质学校合作办学，健全完善工作机制和运行方式，扩大合作成果。鼓励区内学校与市内外高等院校、科研机构、知名中小学和培训机构协同办学，广泛开展师生访学、资源共享、研训同步等交流合作。支持职业院校结合区域性对外开放高地建设行动开展对外合作。争取在幼儿园、小学、初中、普通高中、职业院校建立1~3个具有较大影响力的教育交流合作项目或交流平台。</w:t>
      </w:r>
    </w:p>
    <w:p>
      <w:pPr>
        <w:widowControl/>
        <w:spacing w:line="579" w:lineRule="exact"/>
        <w:ind w:firstLine="632" w:firstLineChars="200"/>
        <w:textAlignment w:val="baseline"/>
        <w:rPr>
          <w:kern w:val="0"/>
          <w:szCs w:val="32"/>
        </w:rPr>
      </w:pPr>
      <w:r>
        <w:rPr>
          <w:b/>
          <w:bCs/>
          <w:kern w:val="0"/>
          <w:szCs w:val="32"/>
        </w:rPr>
        <w:t>成渝双城教育协同发展。</w:t>
      </w:r>
      <w:r>
        <w:rPr>
          <w:kern w:val="0"/>
          <w:szCs w:val="32"/>
        </w:rPr>
        <w:t>紧紧围绕成渝地区双城经济圈建设教育协同发展框架协议，推动区域内优质中小学（幼儿园）开展跨省域合作，推进中小学、幼儿园教师及校（园）长挂职交流，互学互鉴共同推进义务教育教师“区管校聘”管理、中小学校长职级制等重大改革。组建学前教育、基础教育、职业教育、高等教育等多领域教育联盟，深化学区制管理、集团化办学。</w:t>
      </w:r>
    </w:p>
    <w:p>
      <w:pPr>
        <w:keepNext/>
        <w:keepLines/>
        <w:widowControl/>
        <w:spacing w:line="579" w:lineRule="exact"/>
        <w:ind w:firstLine="632" w:firstLineChars="200"/>
        <w:jc w:val="left"/>
        <w:textAlignment w:val="baseline"/>
        <w:outlineLvl w:val="1"/>
        <w:rPr>
          <w:b/>
          <w:bCs/>
          <w:szCs w:val="32"/>
        </w:rPr>
      </w:pPr>
      <w:bookmarkStart w:id="47" w:name="_Toc810"/>
      <w:bookmarkStart w:id="48" w:name="_Toc84686315"/>
      <w:r>
        <w:rPr>
          <w:b/>
          <w:bCs/>
          <w:szCs w:val="32"/>
        </w:rPr>
        <w:t>5.强化依法治</w:t>
      </w:r>
      <w:bookmarkEnd w:id="47"/>
      <w:r>
        <w:rPr>
          <w:b/>
          <w:bCs/>
          <w:szCs w:val="32"/>
        </w:rPr>
        <w:t>教</w:t>
      </w:r>
      <w:bookmarkEnd w:id="48"/>
    </w:p>
    <w:p>
      <w:pPr>
        <w:widowControl/>
        <w:spacing w:line="579" w:lineRule="exact"/>
        <w:ind w:firstLine="632" w:firstLineChars="200"/>
        <w:textAlignment w:val="baseline"/>
        <w:rPr>
          <w:szCs w:val="32"/>
        </w:rPr>
      </w:pPr>
      <w:r>
        <w:rPr>
          <w:b/>
          <w:bCs/>
          <w:szCs w:val="32"/>
        </w:rPr>
        <w:t>法治思维规范教育行政。</w:t>
      </w:r>
      <w:r>
        <w:rPr>
          <w:szCs w:val="32"/>
        </w:rPr>
        <w:t>严格遵循公众参与、专家论证、风险评估、合法性审查、集体讨论决定等教育决策法定程序。健全完善规范性文件审查与清理机制。健全完善教育系统法律顾问制度，保证法律顾问在制订重大教育决策、推进依法行政中发挥积极作用。实施行政权力清单、责任清单制度，形成政府依法管理学校，学校依法办学、自主管理，教师依法执教，社会依法支持和参与学校管理的格局。</w:t>
      </w:r>
    </w:p>
    <w:p>
      <w:pPr>
        <w:widowControl/>
        <w:spacing w:line="579" w:lineRule="exact"/>
        <w:ind w:firstLine="632" w:firstLineChars="200"/>
        <w:textAlignment w:val="baseline"/>
        <w:rPr>
          <w:szCs w:val="32"/>
        </w:rPr>
      </w:pPr>
      <w:r>
        <w:rPr>
          <w:b/>
          <w:bCs/>
          <w:szCs w:val="32"/>
        </w:rPr>
        <w:t>治理思维助推学校发展。</w:t>
      </w:r>
      <w:r>
        <w:rPr>
          <w:szCs w:val="32"/>
        </w:rPr>
        <w:t>规范和优化学校决策和执行机制，完善学校内部监督和社会监督制度，深入推进校务公开。加强教职工代表大会和学生代表大会建设，依法落实和保障师生的知情权、参与权、表达权和监督权。</w:t>
      </w:r>
      <w:r>
        <w:rPr>
          <w:spacing w:val="-4"/>
          <w:szCs w:val="32"/>
        </w:rPr>
        <w:t>健全完善家长与社会参与机制，</w:t>
      </w:r>
      <w:r>
        <w:rPr>
          <w:szCs w:val="32"/>
        </w:rPr>
        <w:t>创新学校管理方式。建立学校与社区合作机制。加强青少年学生法治宣传教育，健全学校、家庭、社会“三位一体”的法治教育格局。引导和支持师生理性表达诉求，依法维护权益，依法处理教师、学生申诉或纠纷，保证处理程序的公开、公正。探索建立师生权益保障与救济中心，制定师生法律援助计划。</w:t>
      </w:r>
    </w:p>
    <w:p>
      <w:pPr>
        <w:keepNext/>
        <w:keepLines/>
        <w:widowControl/>
        <w:spacing w:line="579" w:lineRule="exact"/>
        <w:ind w:firstLine="632" w:firstLineChars="200"/>
        <w:textAlignment w:val="baseline"/>
        <w:outlineLvl w:val="1"/>
        <w:rPr>
          <w:rFonts w:eastAsia="方正楷体_GBK"/>
          <w:szCs w:val="32"/>
        </w:rPr>
      </w:pPr>
      <w:bookmarkStart w:id="49" w:name="_Toc76328196"/>
      <w:bookmarkStart w:id="50" w:name="_Toc31993"/>
      <w:bookmarkStart w:id="51" w:name="_Toc84686316"/>
      <w:bookmarkStart w:id="52" w:name="_Toc9269"/>
      <w:r>
        <w:rPr>
          <w:rFonts w:eastAsia="方正楷体_GBK"/>
          <w:szCs w:val="32"/>
        </w:rPr>
        <w:t>（二）夯实教育基础能力</w:t>
      </w:r>
      <w:bookmarkEnd w:id="49"/>
      <w:bookmarkEnd w:id="50"/>
      <w:bookmarkEnd w:id="51"/>
      <w:bookmarkEnd w:id="52"/>
      <w:bookmarkStart w:id="53" w:name="_Toc13749"/>
      <w:bookmarkStart w:id="54" w:name="_Toc18465"/>
    </w:p>
    <w:p>
      <w:pPr>
        <w:keepNext/>
        <w:keepLines/>
        <w:widowControl/>
        <w:spacing w:line="579" w:lineRule="exact"/>
        <w:ind w:firstLine="632" w:firstLineChars="200"/>
        <w:textAlignment w:val="baseline"/>
        <w:outlineLvl w:val="2"/>
        <w:rPr>
          <w:b/>
          <w:szCs w:val="22"/>
        </w:rPr>
      </w:pPr>
      <w:bookmarkStart w:id="55" w:name="_Toc76328197"/>
      <w:bookmarkStart w:id="56" w:name="_Toc84686317"/>
      <w:r>
        <w:rPr>
          <w:b/>
          <w:szCs w:val="22"/>
        </w:rPr>
        <w:t>6.优化教育规划布局</w:t>
      </w:r>
      <w:bookmarkEnd w:id="53"/>
      <w:bookmarkEnd w:id="54"/>
      <w:bookmarkEnd w:id="55"/>
      <w:bookmarkEnd w:id="56"/>
    </w:p>
    <w:p>
      <w:pPr>
        <w:widowControl/>
        <w:spacing w:line="579" w:lineRule="exact"/>
        <w:ind w:firstLine="632" w:firstLineChars="200"/>
        <w:textAlignment w:val="baseline"/>
        <w:rPr>
          <w:rFonts w:eastAsia="方正黑体_GBK"/>
          <w:szCs w:val="32"/>
        </w:rPr>
      </w:pPr>
      <w:r>
        <w:rPr>
          <w:b/>
          <w:bCs/>
          <w:szCs w:val="32"/>
        </w:rPr>
        <w:t>科学规划学校布局。</w:t>
      </w:r>
      <w:r>
        <w:rPr>
          <w:szCs w:val="32"/>
        </w:rPr>
        <w:t>坚持“适应学龄人口分布趋势，方便就近入学，稳定微调农村中小学，适度增加城区校点学位”原则，规划一批全面提升全区教育基础能力的重大建设项目，制定《黔江区幼儿园布局专项规划》《黔江区义务教育布局专项规划》，进一步优化学前教育、义务教育学校布局，稳定农村校点，增加城区学位，切实化解城区学校大班额问题，继续实施“两类学校”建设，盘活农村学校闲置资源，全面完成职教中心迁建工程。预留渝东南职业教育城用地，争取创办1所本科职业院校，引进建立</w:t>
      </w:r>
      <w:r>
        <w:rPr>
          <w:rFonts w:hint="eastAsia"/>
          <w:szCs w:val="32"/>
        </w:rPr>
        <w:t>1所中医药职业院校，</w:t>
      </w:r>
      <w:r>
        <w:rPr>
          <w:szCs w:val="32"/>
        </w:rPr>
        <w:t>或本科院校分校区。</w:t>
      </w:r>
    </w:p>
    <w:p>
      <w:pPr>
        <w:widowControl/>
        <w:spacing w:line="579" w:lineRule="exact"/>
        <w:ind w:firstLine="632" w:firstLineChars="200"/>
        <w:textAlignment w:val="baseline"/>
        <w:rPr>
          <w:kern w:val="0"/>
          <w:szCs w:val="32"/>
        </w:rPr>
      </w:pPr>
      <w:r>
        <w:rPr>
          <w:b/>
          <w:bCs/>
          <w:szCs w:val="32"/>
        </w:rPr>
        <w:t>加快新建改扩建学校进程。</w:t>
      </w:r>
      <w:bookmarkStart w:id="57" w:name="_Toc21984"/>
      <w:bookmarkStart w:id="58" w:name="_Toc29582"/>
      <w:r>
        <w:rPr>
          <w:bCs/>
          <w:szCs w:val="32"/>
        </w:rPr>
        <w:t>实施基础教育提质扩容工程，</w:t>
      </w:r>
      <w:r>
        <w:rPr>
          <w:szCs w:val="32"/>
        </w:rPr>
        <w:t>新建公办幼儿园12所，新建义务教育学校4所、迁建3所、改扩建8所，改扩建高中3所，建设1所普通高中</w:t>
      </w:r>
      <w:r>
        <w:rPr>
          <w:kern w:val="0"/>
          <w:szCs w:val="32"/>
        </w:rPr>
        <w:t>。</w:t>
      </w:r>
      <w:r>
        <w:rPr>
          <w:szCs w:val="32"/>
        </w:rPr>
        <w:t>实施渝东南职业教育城建设工程</w:t>
      </w:r>
      <w:r>
        <w:rPr>
          <w:bCs/>
          <w:szCs w:val="32"/>
        </w:rPr>
        <w:t>，完成黔江职教中心迁建及重庆旅游职业学院、重庆经贸职业学院改扩建等工程。</w:t>
      </w:r>
      <w:r>
        <w:rPr>
          <w:kern w:val="0"/>
          <w:szCs w:val="32"/>
        </w:rPr>
        <w:t>加强农村小规模学校和乡镇寄宿制学校建设，推进城乡义务教育公办学校标准化建设，全面改善农村义务教育薄弱学校基本办学条件。</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top"/>
          </w:tcPr>
          <w:p>
            <w:pPr>
              <w:widowControl/>
              <w:spacing w:line="579" w:lineRule="exact"/>
              <w:ind w:firstLine="412" w:firstLineChars="200"/>
              <w:jc w:val="center"/>
              <w:textAlignment w:val="baseline"/>
              <w:rPr>
                <w:rFonts w:eastAsia="宋体"/>
                <w:sz w:val="21"/>
                <w:szCs w:val="22"/>
              </w:rPr>
            </w:pPr>
            <w:r>
              <w:rPr>
                <w:b/>
                <w:bCs/>
                <w:kern w:val="0"/>
                <w:sz w:val="21"/>
                <w:szCs w:val="21"/>
                <w:lang w:bidi="ar"/>
              </w:rPr>
              <w:t>专栏2：教育布局优化工程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top"/>
          </w:tcPr>
          <w:p>
            <w:pPr>
              <w:widowControl/>
              <w:spacing w:line="260" w:lineRule="exact"/>
              <w:ind w:firstLine="412" w:firstLineChars="200"/>
              <w:textAlignment w:val="baseline"/>
              <w:rPr>
                <w:b/>
                <w:bCs/>
                <w:sz w:val="21"/>
                <w:szCs w:val="21"/>
              </w:rPr>
            </w:pPr>
            <w:r>
              <w:rPr>
                <w:sz w:val="21"/>
                <w:szCs w:val="21"/>
              </w:rPr>
              <w:t>一是实施基础教育提质扩容工程。新建公办幼儿园12所，新征地16亩，新建校舍4.95万平方米，配套建设相关附属设施。新建义务教育学校4所、迁建3所、改扩建8所，新征地322亩，新建校舍15.75万平方米，配套建设相关附属设施。改扩建高中3所，新建校舍3.88万平方米，配套建设相关附属设施。建设1所普通高中。二是实施渝东南职业教育城建设工程。完成黔江职教中心迁建及重庆旅游职业学院、重庆经贸职业学院改扩建等工程。三是加强农村小规模学校和乡镇寄宿制学校建设。</w:t>
            </w:r>
          </w:p>
        </w:tc>
      </w:tr>
    </w:tbl>
    <w:p>
      <w:pPr>
        <w:keepNext/>
        <w:keepLines/>
        <w:widowControl/>
        <w:spacing w:line="579" w:lineRule="exact"/>
        <w:ind w:firstLine="632" w:firstLineChars="200"/>
        <w:textAlignment w:val="baseline"/>
        <w:outlineLvl w:val="2"/>
        <w:rPr>
          <w:b/>
          <w:szCs w:val="22"/>
        </w:rPr>
      </w:pPr>
      <w:bookmarkStart w:id="59" w:name="_Toc76328198"/>
      <w:bookmarkStart w:id="60" w:name="_Toc84686318"/>
      <w:r>
        <w:rPr>
          <w:b/>
          <w:szCs w:val="22"/>
        </w:rPr>
        <w:t>7.加强教师队伍建设</w:t>
      </w:r>
      <w:bookmarkEnd w:id="57"/>
      <w:bookmarkEnd w:id="58"/>
      <w:bookmarkEnd w:id="59"/>
      <w:bookmarkEnd w:id="60"/>
    </w:p>
    <w:p>
      <w:pPr>
        <w:widowControl/>
        <w:spacing w:line="579" w:lineRule="exact"/>
        <w:ind w:firstLine="632" w:firstLineChars="200"/>
        <w:textAlignment w:val="baseline"/>
        <w:rPr>
          <w:kern w:val="0"/>
          <w:szCs w:val="32"/>
        </w:rPr>
      </w:pPr>
      <w:r>
        <w:rPr>
          <w:b/>
          <w:bCs/>
          <w:szCs w:val="32"/>
        </w:rPr>
        <w:t>提高师德师风水平。</w:t>
      </w:r>
      <w:r>
        <w:rPr>
          <w:kern w:val="0"/>
          <w:szCs w:val="32"/>
        </w:rPr>
        <w:t>加强教师职业理想和职业道德教育，将“四有好老师</w:t>
      </w:r>
      <w:r>
        <w:rPr>
          <w:kern w:val="0"/>
          <w:szCs w:val="32"/>
          <w:vertAlign w:val="superscript"/>
        </w:rPr>
        <w:footnoteReference w:id="1"/>
      </w:r>
      <w:r>
        <w:rPr>
          <w:kern w:val="0"/>
          <w:szCs w:val="32"/>
        </w:rPr>
        <w:t>”“四个引路人</w:t>
      </w:r>
      <w:r>
        <w:rPr>
          <w:kern w:val="0"/>
          <w:szCs w:val="32"/>
          <w:vertAlign w:val="superscript"/>
        </w:rPr>
        <w:footnoteReference w:id="2"/>
      </w:r>
      <w:r>
        <w:rPr>
          <w:kern w:val="0"/>
          <w:szCs w:val="32"/>
        </w:rPr>
        <w:t>”“四个相统一</w:t>
      </w:r>
      <w:r>
        <w:rPr>
          <w:kern w:val="0"/>
          <w:szCs w:val="32"/>
          <w:vertAlign w:val="superscript"/>
        </w:rPr>
        <w:footnoteReference w:id="3"/>
      </w:r>
      <w:r>
        <w:rPr>
          <w:kern w:val="0"/>
          <w:szCs w:val="32"/>
        </w:rPr>
        <w:t>”等标准和要求落实到师德教育全过程。引导教师在教育教学实践中提升师德素养，将立德树人贯穿到教育教学全过程。构建师德师风多元监督体系，落实师德师风负面清单、通报警示、师德失范惩戒等相关制度，实施师德师风评价档案制度，建立师德师风大数据监测平台，完善教师违法信息查询制度，实施师德师风建设第三方评价制度。挖掘优秀教师典型，加大模范人物宣传表彰力度。到2025年，建成一支数量足、结构优、素质高的专业化创新型教师队伍。</w:t>
      </w:r>
    </w:p>
    <w:p>
      <w:pPr>
        <w:widowControl/>
        <w:spacing w:line="579" w:lineRule="exact"/>
        <w:ind w:firstLine="632" w:firstLineChars="200"/>
        <w:textAlignment w:val="baseline"/>
        <w:rPr>
          <w:szCs w:val="32"/>
        </w:rPr>
      </w:pPr>
      <w:r>
        <w:rPr>
          <w:b/>
          <w:bCs/>
          <w:szCs w:val="32"/>
        </w:rPr>
        <w:t>优化教师编制结构。</w:t>
      </w:r>
      <w:r>
        <w:rPr>
          <w:szCs w:val="32"/>
        </w:rPr>
        <w:t>严格落实国市教师编制标准和政策规定，按《幼儿园教职工配备标准（暂行）》配足配齐各类幼儿园教职工，区域内幼儿园专任教师总数与在园幼儿总数之比不低于1:15。进一步加大政府购买服务的力度，解决幼儿园工勤和教学辅助岗位的用人需要，全额纳入区财政预算经费保障，解决公办幼儿园非在编教师工资待遇偏低问题，实现同工同酬。实施城乡义务教育教师均衡优化配置，到2024年新增初中音体美（艺术）专任教师20人，每百名学生拥有音体美（艺术）专任教师数达0.9，在职称评聘</w:t>
      </w:r>
      <w:r>
        <w:rPr>
          <w:rFonts w:hint="eastAsia"/>
          <w:szCs w:val="32"/>
        </w:rPr>
        <w:t>中</w:t>
      </w:r>
      <w:r>
        <w:rPr>
          <w:szCs w:val="32"/>
        </w:rPr>
        <w:t>对音体美（艺术）专任教师实行指标单列，</w:t>
      </w:r>
      <w:r>
        <w:rPr>
          <w:bCs/>
          <w:szCs w:val="32"/>
        </w:rPr>
        <w:t>解决城乡教师结构性缺编问题。</w:t>
      </w:r>
      <w:r>
        <w:rPr>
          <w:szCs w:val="32"/>
        </w:rPr>
        <w:t>严格按照重庆市机构编制委员会（渝编</w:t>
      </w:r>
      <w:r>
        <w:rPr>
          <w:rFonts w:eastAsia="宋体"/>
          <w:szCs w:val="32"/>
        </w:rPr>
        <w:t>〔2012〕53号</w:t>
      </w:r>
      <w:r>
        <w:rPr>
          <w:szCs w:val="32"/>
        </w:rPr>
        <w:t>）规定，核定中职学校教职工编制。积极稳妥推进“区管校聘”管理改革，优化城乡教师配置。动态统筹核定教师编制，优化交流轮岗导向和方式。按照市级相关部门统一部署，合理提高中小学（幼儿园）中高级岗位比例，激发教师教书育人活力。</w:t>
      </w:r>
    </w:p>
    <w:p>
      <w:pPr>
        <w:widowControl/>
        <w:spacing w:line="579" w:lineRule="exact"/>
        <w:ind w:firstLine="632" w:firstLineChars="200"/>
        <w:textAlignment w:val="baseline"/>
        <w:rPr>
          <w:kern w:val="0"/>
          <w:szCs w:val="32"/>
        </w:rPr>
      </w:pPr>
      <w:r>
        <w:rPr>
          <w:b/>
          <w:bCs/>
          <w:szCs w:val="32"/>
        </w:rPr>
        <w:t>充分保障教师待遇。</w:t>
      </w:r>
      <w:r>
        <w:rPr>
          <w:kern w:val="0"/>
          <w:szCs w:val="32"/>
        </w:rPr>
        <w:t>保障教师工资收入增长和动态调整机制，</w:t>
      </w:r>
      <w:r>
        <w:rPr>
          <w:szCs w:val="32"/>
        </w:rPr>
        <w:t>落实义务教育学校教师平均工资收入水平不低于当地公务员平均工资收入水平。完善中小学教师绩效工资和</w:t>
      </w:r>
      <w:r>
        <w:rPr>
          <w:kern w:val="0"/>
          <w:szCs w:val="32"/>
        </w:rPr>
        <w:t>乡村教师岗位生活补助动态调整机制，逐步提高补助标准。畅通乡村教师专业发展通道，在培训、职称评聘、表彰奖励等方面向乡村青年教师倾斜。健全民办学校教师待遇保障机制，引导民办学校建立教师收入与办学效益挂钩的动态调整机制，合理提高人员经费在学校支出中的比例。指导民办学校与教师依法签订合同，按时足额支付工资，保障其福利待遇和其他合法权益，并为教职工足额缴纳社会保险。落实民办学校教师在业务培训、职称评审、表彰奖励、教育科研等方面与公办学校教师同等待遇。</w:t>
      </w:r>
    </w:p>
    <w:p>
      <w:pPr>
        <w:widowControl/>
        <w:spacing w:line="579" w:lineRule="exact"/>
        <w:ind w:firstLine="632" w:firstLineChars="200"/>
        <w:textAlignment w:val="baseline"/>
        <w:rPr>
          <w:szCs w:val="32"/>
        </w:rPr>
      </w:pPr>
      <w:r>
        <w:rPr>
          <w:b/>
          <w:bCs/>
          <w:szCs w:val="32"/>
        </w:rPr>
        <w:t>提升教师专业素质。</w:t>
      </w:r>
      <w:r>
        <w:rPr>
          <w:szCs w:val="32"/>
        </w:rPr>
        <w:t>按照不低于教师工资总额的1.5%预算教师继续教育经费，学校年度公用经费总额的5%用于教师培训。构建职业院校、教师培训机构、优质示范幼儿园“三位一体”培训机制，实施初中毕业起点“3+2”专科层次幼儿园教师培养模式。完善国、市、区、校四级培训体系，所有中小学教师每3年开展1次区级以上培训，每年寒暑假开展教师全员培训，打造高素质专业化的中小学教师队伍。实施职业院校教师素质提高计划，推动职业院校和大中型企业共建“双师型”教师培养培训基地，建立职业院校管理者、骨干教师和行业企业、科研机构技术技能人才的双向流动机制，落实专业课教师每5年到行业企业实践锻炼累计不少于6个月的制度，打造高素质双师型的职业院校教师队伍。推进校长专业化发展，落实校长任职资格培训制度，大力开展提高培训和高端研修，不断提高素质能力。到2025年，全区专任教师高于规定学历，小学教师专科达95%以上，初中教师本科达95%以。教师5年360学时全员培训完成率达到100%，专任教师持有教师资格证上岗率达到100%，严格执行教师资格定期注册制度。</w:t>
      </w:r>
    </w:p>
    <w:p>
      <w:pPr>
        <w:widowControl/>
        <w:spacing w:line="579" w:lineRule="exact"/>
        <w:ind w:firstLine="632" w:firstLineChars="200"/>
        <w:textAlignment w:val="baseline"/>
        <w:rPr>
          <w:szCs w:val="32"/>
        </w:rPr>
      </w:pPr>
      <w:r>
        <w:rPr>
          <w:b/>
          <w:bCs/>
          <w:szCs w:val="32"/>
        </w:rPr>
        <w:t>推进名师名校长培养。</w:t>
      </w:r>
      <w:r>
        <w:rPr>
          <w:szCs w:val="32"/>
        </w:rPr>
        <w:t>继续实施名师名校长培养计划，加大名师工作室、名校长建设力度，给予市、区级名师工作室及市级名师、骨干教师一定的经费支持。完善黔江区名教师、名校长评选管理办法，壮大中小学骨干教师和领军人才队伍。按照“面向全体、突出骨干、倾斜农村”的原则，促进城乡教师队伍均衡发展。深入推进乡村教师支持计划，强化定向培养和精准培训，为乡村学校培养一批本土化优秀教师，助力乡村振兴。到2022年，建成市、区级名师工作室12个以上，培养市、区级骨干教师850人以上，重庆市特级教师、重庆市名师、正高级教师</w:t>
      </w:r>
      <w:r>
        <w:rPr>
          <w:rFonts w:hint="eastAsia"/>
          <w:szCs w:val="32"/>
        </w:rPr>
        <w:t>40</w:t>
      </w:r>
      <w:r>
        <w:rPr>
          <w:szCs w:val="32"/>
        </w:rPr>
        <w:t>人以上。到2025年，建成市、区级名师工作室15个以上，培养市、区级骨干教师1200人以上，重庆市特级教师、重庆市名师、正高级教师50人以上。</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12" w:firstLineChars="200"/>
              <w:jc w:val="center"/>
              <w:textAlignment w:val="baseline"/>
              <w:outlineLvl w:val="9"/>
              <w:rPr>
                <w:sz w:val="21"/>
                <w:szCs w:val="22"/>
              </w:rPr>
            </w:pPr>
            <w:r>
              <w:rPr>
                <w:b/>
                <w:bCs/>
                <w:kern w:val="0"/>
                <w:sz w:val="21"/>
                <w:szCs w:val="21"/>
                <w:lang w:bidi="ar"/>
              </w:rPr>
              <w:t>专栏3：名师名校长培养工程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0"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ind w:firstLine="412" w:firstLineChars="200"/>
              <w:textAlignment w:val="baseline"/>
              <w:rPr>
                <w:b/>
                <w:bCs/>
                <w:sz w:val="21"/>
                <w:szCs w:val="21"/>
              </w:rPr>
            </w:pPr>
            <w:r>
              <w:rPr>
                <w:sz w:val="21"/>
                <w:szCs w:val="22"/>
              </w:rPr>
              <w:t>到2022年，建成市、区级名师工作室12个以上，培养市、区级骨干教师850人以上，重庆市特级教师、重庆市名师、正高级教师</w:t>
            </w:r>
            <w:r>
              <w:rPr>
                <w:rFonts w:hint="eastAsia"/>
                <w:sz w:val="21"/>
                <w:szCs w:val="22"/>
              </w:rPr>
              <w:t>40</w:t>
            </w:r>
            <w:r>
              <w:rPr>
                <w:sz w:val="21"/>
                <w:szCs w:val="22"/>
              </w:rPr>
              <w:t>人以上。到2025年，建成市、区级名师工作室15个以上，培养市、区级骨干教师1200名以上，重庆市特级教师、重庆市名师、正高级教师50人以上。</w:t>
            </w:r>
          </w:p>
        </w:tc>
      </w:tr>
    </w:tbl>
    <w:p>
      <w:pPr>
        <w:keepNext/>
        <w:keepLines/>
        <w:widowControl/>
        <w:spacing w:line="579" w:lineRule="exact"/>
        <w:ind w:firstLine="632" w:firstLineChars="200"/>
        <w:textAlignment w:val="baseline"/>
        <w:outlineLvl w:val="2"/>
        <w:rPr>
          <w:b/>
          <w:szCs w:val="22"/>
        </w:rPr>
      </w:pPr>
      <w:bookmarkStart w:id="61" w:name="_Toc23206"/>
      <w:bookmarkStart w:id="62" w:name="_Toc76328199"/>
      <w:bookmarkStart w:id="63" w:name="_Toc6062"/>
      <w:bookmarkStart w:id="64" w:name="_Toc84686319"/>
      <w:r>
        <w:rPr>
          <w:b/>
          <w:szCs w:val="22"/>
        </w:rPr>
        <w:t>8.</w:t>
      </w:r>
      <w:bookmarkEnd w:id="61"/>
      <w:bookmarkEnd w:id="62"/>
      <w:bookmarkEnd w:id="63"/>
      <w:r>
        <w:rPr>
          <w:b/>
          <w:szCs w:val="22"/>
        </w:rPr>
        <w:t xml:space="preserve"> 推动教育信息化</w:t>
      </w:r>
      <w:r>
        <w:rPr>
          <w:rFonts w:hint="eastAsia"/>
          <w:b/>
          <w:szCs w:val="22"/>
        </w:rPr>
        <w:t>和教育装备标准化</w:t>
      </w:r>
      <w:bookmarkEnd w:id="64"/>
    </w:p>
    <w:p>
      <w:pPr>
        <w:keepNext w:val="0"/>
        <w:keepLines w:val="0"/>
        <w:pageBreakBefore w:val="0"/>
        <w:widowControl/>
        <w:kinsoku/>
        <w:wordWrap/>
        <w:overflowPunct/>
        <w:topLinePunct w:val="0"/>
        <w:autoSpaceDE/>
        <w:autoSpaceDN/>
        <w:bidi w:val="0"/>
        <w:adjustRightInd/>
        <w:snapToGrid/>
        <w:spacing w:line="546" w:lineRule="exact"/>
        <w:ind w:firstLine="632" w:firstLineChars="200"/>
        <w:textAlignment w:val="baseline"/>
        <w:outlineLvl w:val="9"/>
        <w:rPr>
          <w:spacing w:val="-4"/>
          <w:kern w:val="0"/>
          <w:szCs w:val="32"/>
        </w:rPr>
      </w:pPr>
      <w:bookmarkStart w:id="65" w:name="_Toc76328200"/>
      <w:r>
        <w:rPr>
          <w:b/>
          <w:bCs/>
          <w:szCs w:val="32"/>
        </w:rPr>
        <w:t>推进教育信息化。</w:t>
      </w:r>
      <w:r>
        <w:rPr>
          <w:spacing w:val="-4"/>
          <w:szCs w:val="32"/>
        </w:rPr>
        <w:t>构建新型网络基础设施</w:t>
      </w:r>
      <w:r>
        <w:rPr>
          <w:rFonts w:hint="eastAsia"/>
          <w:spacing w:val="-4"/>
          <w:szCs w:val="32"/>
        </w:rPr>
        <w:t>，</w:t>
      </w:r>
      <w:r>
        <w:rPr>
          <w:spacing w:val="-4"/>
          <w:szCs w:val="32"/>
        </w:rPr>
        <w:t>积极融入国家教育专网建设，深化重庆教育宽带网应用，实施教育宽带网络提速扩容工程，实现宽</w:t>
      </w:r>
      <w:r>
        <w:rPr>
          <w:spacing w:val="-4"/>
          <w:kern w:val="0"/>
          <w:szCs w:val="32"/>
        </w:rPr>
        <w:t>带网络10000兆到校100兆到班，</w:t>
      </w:r>
      <w:r>
        <w:rPr>
          <w:rFonts w:hint="eastAsia"/>
          <w:spacing w:val="-4"/>
          <w:szCs w:val="32"/>
        </w:rPr>
        <w:t>推动</w:t>
      </w:r>
      <w:r>
        <w:rPr>
          <w:spacing w:val="-4"/>
          <w:szCs w:val="32"/>
        </w:rPr>
        <w:t>校园有线、无线、物联网“三网”融合发展。优化平台体系基础设施</w:t>
      </w:r>
      <w:r>
        <w:rPr>
          <w:rFonts w:hint="eastAsia"/>
          <w:spacing w:val="-4"/>
          <w:szCs w:val="32"/>
        </w:rPr>
        <w:t>，</w:t>
      </w:r>
      <w:r>
        <w:rPr>
          <w:spacing w:val="-4"/>
          <w:kern w:val="0"/>
          <w:szCs w:val="32"/>
        </w:rPr>
        <w:t>融合黔江智慧教育云平台、平安校园视联网平台、教育资源汇聚平台</w:t>
      </w:r>
      <w:r>
        <w:rPr>
          <w:rFonts w:hint="eastAsia"/>
          <w:spacing w:val="-4"/>
          <w:kern w:val="0"/>
          <w:szCs w:val="32"/>
        </w:rPr>
        <w:t>、教学研修服务云平台等功能，整合</w:t>
      </w:r>
      <w:r>
        <w:rPr>
          <w:spacing w:val="-4"/>
          <w:kern w:val="0"/>
          <w:szCs w:val="32"/>
        </w:rPr>
        <w:t>建设黔江区教育资源公共服务平台。</w:t>
      </w:r>
      <w:r>
        <w:rPr>
          <w:rFonts w:hint="eastAsia"/>
          <w:spacing w:val="-4"/>
          <w:kern w:val="0"/>
          <w:szCs w:val="32"/>
        </w:rPr>
        <w:t>保障信息化发展硬件设施，更换或新建</w:t>
      </w:r>
      <w:r>
        <w:rPr>
          <w:spacing w:val="-4"/>
          <w:kern w:val="0"/>
          <w:szCs w:val="32"/>
        </w:rPr>
        <w:t>计算机网络教室、通用技术教室、录播教室500间。</w:t>
      </w:r>
      <w:r>
        <w:rPr>
          <w:rFonts w:hint="eastAsia"/>
          <w:spacing w:val="-4"/>
          <w:kern w:val="0"/>
          <w:szCs w:val="32"/>
        </w:rPr>
        <w:t>更换或新配</w:t>
      </w:r>
      <w:r>
        <w:rPr>
          <w:spacing w:val="-4"/>
          <w:kern w:val="0"/>
          <w:szCs w:val="32"/>
        </w:rPr>
        <w:t>多媒体教学设备、电子班牌、在线巡课系统、智慧健康管理设备、创客教育设备等10000台件套。</w:t>
      </w:r>
      <w:r>
        <w:rPr>
          <w:rFonts w:hint="eastAsia"/>
          <w:spacing w:val="-4"/>
          <w:kern w:val="0"/>
          <w:szCs w:val="32"/>
        </w:rPr>
        <w:t>提升教育信息化发展软件能力，</w:t>
      </w:r>
      <w:r>
        <w:rPr>
          <w:kern w:val="0"/>
          <w:szCs w:val="32"/>
        </w:rPr>
        <w:t>着力</w:t>
      </w:r>
      <w:r>
        <w:rPr>
          <w:rFonts w:hint="eastAsia"/>
          <w:kern w:val="0"/>
          <w:szCs w:val="32"/>
        </w:rPr>
        <w:t>推进</w:t>
      </w:r>
      <w:r>
        <w:rPr>
          <w:kern w:val="0"/>
          <w:szCs w:val="32"/>
        </w:rPr>
        <w:t>教育信息</w:t>
      </w:r>
      <w:r>
        <w:rPr>
          <w:spacing w:val="-4"/>
          <w:kern w:val="0"/>
          <w:szCs w:val="32"/>
        </w:rPr>
        <w:t>化2.0行动计划</w:t>
      </w:r>
      <w:r>
        <w:rPr>
          <w:rFonts w:hint="eastAsia"/>
          <w:spacing w:val="-4"/>
          <w:kern w:val="0"/>
          <w:szCs w:val="32"/>
        </w:rPr>
        <w:t>，</w:t>
      </w:r>
      <w:r>
        <w:rPr>
          <w:spacing w:val="-4"/>
          <w:kern w:val="0"/>
          <w:szCs w:val="32"/>
        </w:rPr>
        <w:t>推动信息技术与学科教学深度融合</w:t>
      </w:r>
      <w:r>
        <w:rPr>
          <w:rFonts w:hint="eastAsia"/>
          <w:spacing w:val="-4"/>
          <w:kern w:val="0"/>
          <w:szCs w:val="32"/>
        </w:rPr>
        <w:t>，</w:t>
      </w:r>
      <w:r>
        <w:rPr>
          <w:spacing w:val="-4"/>
          <w:kern w:val="0"/>
          <w:szCs w:val="32"/>
        </w:rPr>
        <w:t>普及推广基于移动终端的教学活动</w:t>
      </w:r>
      <w:r>
        <w:rPr>
          <w:rFonts w:hint="eastAsia"/>
          <w:spacing w:val="-4"/>
          <w:kern w:val="0"/>
          <w:szCs w:val="32"/>
        </w:rPr>
        <w:t>，</w:t>
      </w:r>
      <w:r>
        <w:rPr>
          <w:spacing w:val="-4"/>
          <w:kern w:val="0"/>
          <w:szCs w:val="32"/>
        </w:rPr>
        <w:t>充分利用大数据、人工智能等新技术，探索AI赋能教育</w:t>
      </w:r>
      <w:r>
        <w:rPr>
          <w:rFonts w:hint="eastAsia"/>
          <w:spacing w:val="-4"/>
          <w:kern w:val="0"/>
          <w:szCs w:val="32"/>
        </w:rPr>
        <w:t>；</w:t>
      </w:r>
      <w:r>
        <w:rPr>
          <w:spacing w:val="-4"/>
          <w:kern w:val="0"/>
          <w:szCs w:val="32"/>
        </w:rPr>
        <w:t>推动“互联网+教育”深度融合</w:t>
      </w:r>
      <w:r>
        <w:rPr>
          <w:rFonts w:hint="eastAsia"/>
          <w:spacing w:val="-4"/>
          <w:kern w:val="0"/>
          <w:szCs w:val="32"/>
        </w:rPr>
        <w:t>，</w:t>
      </w:r>
      <w:r>
        <w:rPr>
          <w:spacing w:val="-4"/>
          <w:kern w:val="0"/>
          <w:szCs w:val="32"/>
        </w:rPr>
        <w:t>深化网络空间应用，推进“网络学习空间人人通”</w:t>
      </w:r>
      <w:r>
        <w:rPr>
          <w:rFonts w:hint="eastAsia"/>
          <w:spacing w:val="-4"/>
          <w:kern w:val="0"/>
          <w:szCs w:val="32"/>
        </w:rPr>
        <w:t>，</w:t>
      </w:r>
      <w:r>
        <w:rPr>
          <w:spacing w:val="-4"/>
          <w:kern w:val="0"/>
          <w:szCs w:val="32"/>
        </w:rPr>
        <w:t>探索线上线下“双线”教学模式</w:t>
      </w:r>
      <w:r>
        <w:rPr>
          <w:rFonts w:hint="eastAsia"/>
          <w:spacing w:val="-4"/>
          <w:kern w:val="0"/>
          <w:szCs w:val="32"/>
        </w:rPr>
        <w:t>；</w:t>
      </w:r>
      <w:r>
        <w:rPr>
          <w:spacing w:val="-4"/>
          <w:kern w:val="0"/>
          <w:szCs w:val="32"/>
        </w:rPr>
        <w:t>着力加强“三个课堂”建设</w:t>
      </w:r>
      <w:r>
        <w:rPr>
          <w:rFonts w:hint="eastAsia"/>
          <w:spacing w:val="-4"/>
          <w:kern w:val="0"/>
          <w:szCs w:val="32"/>
        </w:rPr>
        <w:t>，</w:t>
      </w:r>
      <w:r>
        <w:rPr>
          <w:spacing w:val="-4"/>
          <w:kern w:val="0"/>
          <w:szCs w:val="32"/>
        </w:rPr>
        <w:t>有序推进“互联网+集团化”办学</w:t>
      </w:r>
      <w:r>
        <w:rPr>
          <w:rFonts w:hint="eastAsia"/>
          <w:spacing w:val="-4"/>
          <w:kern w:val="0"/>
          <w:szCs w:val="32"/>
        </w:rPr>
        <w:t>，</w:t>
      </w:r>
      <w:r>
        <w:rPr>
          <w:spacing w:val="-4"/>
          <w:kern w:val="0"/>
          <w:szCs w:val="32"/>
        </w:rPr>
        <w:t>定期组织优质课评选和微课大赛</w:t>
      </w:r>
      <w:r>
        <w:rPr>
          <w:rFonts w:hint="eastAsia"/>
          <w:spacing w:val="-4"/>
          <w:kern w:val="0"/>
          <w:szCs w:val="32"/>
        </w:rPr>
        <w:t>，汇聚优质教育资源，</w:t>
      </w:r>
      <w:r>
        <w:rPr>
          <w:spacing w:val="-4"/>
          <w:kern w:val="0"/>
          <w:szCs w:val="32"/>
        </w:rPr>
        <w:t>到2025年，建立覆盖义务教育各年级各学科的数字教育资源体系，免费为农村和边远地区学校提供优质</w:t>
      </w:r>
      <w:r>
        <w:rPr>
          <w:rFonts w:hint="eastAsia"/>
          <w:spacing w:val="-4"/>
          <w:kern w:val="0"/>
          <w:szCs w:val="32"/>
        </w:rPr>
        <w:t>教学</w:t>
      </w:r>
      <w:r>
        <w:rPr>
          <w:spacing w:val="-4"/>
          <w:kern w:val="0"/>
          <w:szCs w:val="32"/>
        </w:rPr>
        <w:t>资源</w:t>
      </w:r>
      <w:r>
        <w:rPr>
          <w:rFonts w:hint="eastAsia"/>
          <w:spacing w:val="-4"/>
          <w:kern w:val="0"/>
          <w:szCs w:val="32"/>
        </w:rPr>
        <w:t>；</w:t>
      </w:r>
      <w:r>
        <w:rPr>
          <w:spacing w:val="-4"/>
          <w:kern w:val="0"/>
          <w:szCs w:val="32"/>
        </w:rPr>
        <w:t>着力建设智慧教育</w:t>
      </w:r>
      <w:r>
        <w:rPr>
          <w:rFonts w:hint="eastAsia"/>
          <w:spacing w:val="-4"/>
          <w:kern w:val="0"/>
          <w:szCs w:val="32"/>
        </w:rPr>
        <w:t>示范校、</w:t>
      </w:r>
      <w:r>
        <w:rPr>
          <w:spacing w:val="-4"/>
          <w:kern w:val="0"/>
          <w:szCs w:val="32"/>
        </w:rPr>
        <w:t>示范区</w:t>
      </w:r>
      <w:r>
        <w:rPr>
          <w:rFonts w:hint="eastAsia"/>
          <w:spacing w:val="-4"/>
          <w:kern w:val="0"/>
          <w:szCs w:val="32"/>
        </w:rPr>
        <w:t>，教育信息化发展水平显著领先渝东南。</w:t>
      </w:r>
    </w:p>
    <w:p>
      <w:pPr>
        <w:keepNext w:val="0"/>
        <w:keepLines w:val="0"/>
        <w:pageBreakBefore w:val="0"/>
        <w:widowControl/>
        <w:kinsoku/>
        <w:wordWrap/>
        <w:overflowPunct/>
        <w:topLinePunct w:val="0"/>
        <w:autoSpaceDE/>
        <w:autoSpaceDN/>
        <w:bidi w:val="0"/>
        <w:adjustRightInd/>
        <w:snapToGrid/>
        <w:spacing w:line="546" w:lineRule="exact"/>
        <w:ind w:firstLine="616" w:firstLineChars="200"/>
        <w:textAlignment w:val="baseline"/>
        <w:outlineLvl w:val="9"/>
        <w:rPr>
          <w:rFonts w:ascii="Calibri" w:hAnsi="Calibri" w:eastAsia="宋体"/>
          <w:sz w:val="21"/>
          <w:szCs w:val="22"/>
        </w:rPr>
      </w:pPr>
      <w:r>
        <w:rPr>
          <w:rFonts w:hint="eastAsia"/>
          <w:b/>
          <w:spacing w:val="-4"/>
          <w:kern w:val="0"/>
          <w:szCs w:val="32"/>
        </w:rPr>
        <w:t>推进教育装备标准化建设</w:t>
      </w:r>
      <w:r>
        <w:rPr>
          <w:rFonts w:hint="eastAsia"/>
          <w:spacing w:val="-4"/>
          <w:kern w:val="0"/>
          <w:szCs w:val="32"/>
        </w:rPr>
        <w:t>。瞄准义务教育优质均衡发展目</w:t>
      </w:r>
      <w:r>
        <w:rPr>
          <w:rFonts w:hint="eastAsia"/>
          <w:spacing w:val="-4"/>
          <w:szCs w:val="32"/>
        </w:rPr>
        <w:t>　</w:t>
      </w:r>
      <w:r>
        <w:rPr>
          <w:rFonts w:hint="eastAsia"/>
          <w:spacing w:val="-4"/>
          <w:kern w:val="0"/>
          <w:szCs w:val="32"/>
        </w:rPr>
        <w:t>标，推进教育装备标准化建设。均衡配置实验教学仪器设备和音体美科劳教学器材，把严课外读物入校关，提供满足学生阅读需求的足量课外读物。提档升级音美等专用教室和书法编程等特色教室建设。保障义务教育优质均衡发展区验收评估。</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79" w:lineRule="exact"/>
              <w:jc w:val="center"/>
              <w:textAlignment w:val="baseline"/>
              <w:rPr>
                <w:sz w:val="21"/>
                <w:szCs w:val="22"/>
              </w:rPr>
            </w:pPr>
            <w:r>
              <w:rPr>
                <w:b/>
                <w:bCs/>
                <w:kern w:val="0"/>
                <w:sz w:val="21"/>
                <w:szCs w:val="21"/>
              </w:rPr>
              <w:t>专栏4：教育信息化</w:t>
            </w:r>
            <w:r>
              <w:rPr>
                <w:rFonts w:hint="eastAsia"/>
                <w:b/>
                <w:bCs/>
                <w:kern w:val="0"/>
                <w:sz w:val="21"/>
                <w:szCs w:val="21"/>
              </w:rPr>
              <w:t>与教育装备标准化</w:t>
            </w:r>
            <w:r>
              <w:rPr>
                <w:b/>
                <w:bCs/>
                <w:kern w:val="0"/>
                <w:sz w:val="21"/>
                <w:szCs w:val="21"/>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8"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412" w:firstLineChars="200"/>
              <w:jc w:val="left"/>
              <w:textAlignment w:val="baseline"/>
              <w:rPr>
                <w:b/>
                <w:bCs/>
                <w:sz w:val="21"/>
                <w:szCs w:val="21"/>
              </w:rPr>
            </w:pPr>
            <w:r>
              <w:rPr>
                <w:rFonts w:hint="eastAsia"/>
                <w:kern w:val="0"/>
                <w:sz w:val="21"/>
                <w:szCs w:val="22"/>
              </w:rPr>
              <w:t>推进</w:t>
            </w:r>
            <w:r>
              <w:rPr>
                <w:kern w:val="0"/>
                <w:sz w:val="21"/>
                <w:szCs w:val="22"/>
              </w:rPr>
              <w:t>教育信息化2.0行动计划，实施教育宽带网络提速扩容工程，教育信息化各项指标达到渝东南领先水平。2021-2024年，</w:t>
            </w:r>
            <w:r>
              <w:rPr>
                <w:rFonts w:hint="eastAsia"/>
                <w:kern w:val="0"/>
                <w:sz w:val="21"/>
                <w:szCs w:val="22"/>
              </w:rPr>
              <w:t>整合建设黔江区教育资源公共服务平台</w:t>
            </w:r>
            <w:r>
              <w:rPr>
                <w:kern w:val="0"/>
                <w:sz w:val="21"/>
                <w:szCs w:val="22"/>
              </w:rPr>
              <w:t>1个、升级改造校园网络78所，</w:t>
            </w:r>
            <w:r>
              <w:rPr>
                <w:rFonts w:hint="eastAsia"/>
                <w:kern w:val="0"/>
                <w:sz w:val="21"/>
                <w:szCs w:val="22"/>
              </w:rPr>
              <w:t>新建或更换</w:t>
            </w:r>
            <w:r>
              <w:rPr>
                <w:kern w:val="0"/>
                <w:sz w:val="21"/>
                <w:szCs w:val="22"/>
              </w:rPr>
              <w:t>计算机网络教室、通用技术教室、录播教室等功能室500间，配置多媒体教学设备、电子班牌、在线巡课系统、智慧健康管理设备、创客教育设备等10000</w:t>
            </w:r>
            <w:r>
              <w:rPr>
                <w:rFonts w:hint="eastAsia"/>
                <w:kern w:val="0"/>
                <w:sz w:val="21"/>
                <w:szCs w:val="22"/>
              </w:rPr>
              <w:t>台件</w:t>
            </w:r>
            <w:r>
              <w:rPr>
                <w:kern w:val="0"/>
                <w:sz w:val="21"/>
                <w:szCs w:val="22"/>
              </w:rPr>
              <w:t>套。到2025年，建立覆盖义务教育各年级各学科的数字教育资源体系，免费为农村和边远贫困地区学校提供优质</w:t>
            </w:r>
            <w:r>
              <w:rPr>
                <w:rFonts w:hint="eastAsia"/>
                <w:kern w:val="0"/>
                <w:sz w:val="21"/>
                <w:szCs w:val="22"/>
              </w:rPr>
              <w:t>教学</w:t>
            </w:r>
            <w:r>
              <w:rPr>
                <w:kern w:val="0"/>
                <w:sz w:val="21"/>
                <w:szCs w:val="22"/>
              </w:rPr>
              <w:t>资源。</w:t>
            </w:r>
            <w:r>
              <w:rPr>
                <w:rFonts w:hint="eastAsia"/>
                <w:kern w:val="0"/>
                <w:sz w:val="21"/>
                <w:szCs w:val="22"/>
              </w:rPr>
              <w:t>均衡配置实验教学仪器设备和音体美科劳教学器材，提供满足学生阅读需求的足量课外读物。</w:t>
            </w:r>
          </w:p>
        </w:tc>
      </w:tr>
    </w:tbl>
    <w:p>
      <w:pPr>
        <w:keepNext/>
        <w:keepLines/>
        <w:pageBreakBefore w:val="0"/>
        <w:widowControl/>
        <w:kinsoku/>
        <w:wordWrap/>
        <w:overflowPunct/>
        <w:topLinePunct w:val="0"/>
        <w:bidi w:val="0"/>
        <w:spacing w:line="579" w:lineRule="atLeast"/>
        <w:ind w:firstLine="632" w:firstLineChars="200"/>
        <w:textAlignment w:val="baseline"/>
        <w:outlineLvl w:val="2"/>
        <w:rPr>
          <w:b/>
          <w:szCs w:val="22"/>
        </w:rPr>
      </w:pPr>
      <w:bookmarkStart w:id="66" w:name="_Toc84686320"/>
      <w:r>
        <w:rPr>
          <w:b/>
          <w:szCs w:val="22"/>
        </w:rPr>
        <w:t>9.强化教科研引领</w:t>
      </w:r>
      <w:bookmarkEnd w:id="66"/>
    </w:p>
    <w:p>
      <w:pPr>
        <w:pageBreakBefore w:val="0"/>
        <w:widowControl/>
        <w:tabs>
          <w:tab w:val="center" w:pos="4153"/>
          <w:tab w:val="right" w:pos="8306"/>
        </w:tabs>
        <w:kinsoku/>
        <w:wordWrap/>
        <w:overflowPunct/>
        <w:topLinePunct w:val="0"/>
        <w:bidi w:val="0"/>
        <w:snapToGrid w:val="0"/>
        <w:spacing w:line="579" w:lineRule="atLeast"/>
        <w:ind w:firstLine="632" w:firstLineChars="200"/>
        <w:textAlignment w:val="baseline"/>
        <w:rPr>
          <w:rFonts w:eastAsia="宋体"/>
          <w:sz w:val="21"/>
          <w:szCs w:val="22"/>
        </w:rPr>
      </w:pPr>
      <w:r>
        <w:rPr>
          <w:szCs w:val="32"/>
        </w:rPr>
        <w:t>完善区、学区、学校三级教研工作体系。开展区级教研机构标准化和中小学教研组规范化建设评估，提高教研机构服务区域教育决策、教研组服务学校发展与教师成长的能力水平。强化校（园）本教研，推进市、区两级校（园）本教研示范校（园）建设。加快建设以市、区教研机构为主导，以校（园）本教研为根本，网络教研、综合教研、联动教研等多种方式深度融合的中小学教研新样态。突出全面育人研究，加强对课程、教学、作业和考试评价等育人关键环节研究，探索新型教研模式。完善教研员准入条件与遴选配备办法，根据国家课程方案分学科配齐专业对口的专职教研员，适当提高教研机构专业技术高级岗位比例，持续提高教研人员的专业能力和水平。</w:t>
      </w:r>
    </w:p>
    <w:p>
      <w:pPr>
        <w:keepNext/>
        <w:keepLines/>
        <w:pageBreakBefore w:val="0"/>
        <w:widowControl/>
        <w:kinsoku/>
        <w:wordWrap/>
        <w:overflowPunct/>
        <w:topLinePunct w:val="0"/>
        <w:bidi w:val="0"/>
        <w:spacing w:line="579" w:lineRule="atLeast"/>
        <w:ind w:firstLine="632" w:firstLineChars="200"/>
        <w:textAlignment w:val="baseline"/>
        <w:outlineLvl w:val="2"/>
        <w:rPr>
          <w:b/>
          <w:szCs w:val="22"/>
        </w:rPr>
      </w:pPr>
      <w:bookmarkStart w:id="67" w:name="_Toc84686321"/>
      <w:r>
        <w:rPr>
          <w:b/>
          <w:szCs w:val="22"/>
        </w:rPr>
        <w:t>10.推进特色品牌建设</w:t>
      </w:r>
      <w:bookmarkEnd w:id="65"/>
      <w:bookmarkEnd w:id="67"/>
    </w:p>
    <w:p>
      <w:pPr>
        <w:pageBreakBefore w:val="0"/>
        <w:kinsoku/>
        <w:wordWrap/>
        <w:overflowPunct/>
        <w:topLinePunct w:val="0"/>
        <w:autoSpaceDE w:val="0"/>
        <w:autoSpaceDN w:val="0"/>
        <w:bidi w:val="0"/>
        <w:adjustRightInd w:val="0"/>
        <w:spacing w:line="579" w:lineRule="atLeast"/>
        <w:ind w:firstLine="616" w:firstLineChars="200"/>
        <w:jc w:val="left"/>
        <w:rPr>
          <w:spacing w:val="-4"/>
          <w:szCs w:val="32"/>
        </w:rPr>
      </w:pPr>
      <w:r>
        <w:rPr>
          <w:b/>
          <w:bCs/>
          <w:spacing w:val="-4"/>
          <w:szCs w:val="32"/>
        </w:rPr>
        <w:t>推进区域教育特色内涵发展。</w:t>
      </w:r>
      <w:r>
        <w:rPr>
          <w:spacing w:val="-4"/>
          <w:szCs w:val="32"/>
        </w:rPr>
        <w:t>实施特色学校建设，通过构建特色课程，创建特色课堂、特色文化，打造一批特色内涵发展品牌学校。实施劳动教育品牌建设计划，建成一批中小学劳动教育特色学校，力争建成劳动教育示范区。</w:t>
      </w:r>
    </w:p>
    <w:p>
      <w:pPr>
        <w:keepNext w:val="0"/>
        <w:keepLines w:val="0"/>
        <w:pageBreakBefore w:val="0"/>
        <w:widowControl/>
        <w:kinsoku/>
        <w:wordWrap/>
        <w:overflowPunct/>
        <w:topLinePunct w:val="0"/>
        <w:autoSpaceDE/>
        <w:autoSpaceDN/>
        <w:bidi w:val="0"/>
        <w:adjustRightInd/>
        <w:snapToGrid/>
        <w:spacing w:line="579" w:lineRule="atLeast"/>
        <w:ind w:firstLine="616" w:firstLineChars="200"/>
        <w:textAlignment w:val="baseline"/>
        <w:outlineLvl w:val="9"/>
        <w:rPr>
          <w:rFonts w:hint="eastAsia" w:eastAsia="方正仿宋_GBK"/>
          <w:szCs w:val="32"/>
          <w:lang w:eastAsia="zh-CN"/>
        </w:rPr>
      </w:pPr>
      <w:r>
        <w:rPr>
          <w:b/>
          <w:bCs/>
          <w:spacing w:val="-4"/>
          <w:szCs w:val="32"/>
        </w:rPr>
        <w:t>开展国市级教学成果培育。</w:t>
      </w:r>
      <w:r>
        <w:rPr>
          <w:spacing w:val="-4"/>
          <w:szCs w:val="32"/>
        </w:rPr>
        <w:t>建立健全黔江区优秀教学成果评选表彰制度，定期</w:t>
      </w:r>
      <w:r>
        <w:rPr>
          <w:szCs w:val="32"/>
        </w:rPr>
        <w:t>开展优秀教学成果评选、表彰、推广活动，遴选国市级教学成果培育项目，</w:t>
      </w:r>
      <w:r>
        <w:rPr>
          <w:spacing w:val="-4"/>
          <w:szCs w:val="32"/>
        </w:rPr>
        <w:t>积极开展国市级教学成果培育，</w:t>
      </w:r>
      <w:r>
        <w:rPr>
          <w:szCs w:val="32"/>
        </w:rPr>
        <w:t>“十四五”期间获市级教学成果奖3项以上、国家级教学成果奖1项以上</w:t>
      </w:r>
      <w:bookmarkStart w:id="68" w:name="_Toc76328201"/>
      <w:bookmarkStart w:id="69" w:name="_Toc30915"/>
      <w:bookmarkStart w:id="70" w:name="_Toc84686322"/>
      <w:bookmarkStart w:id="71" w:name="_Toc10030"/>
      <w:r>
        <w:rPr>
          <w:rFonts w:hint="eastAsia"/>
          <w:szCs w:val="32"/>
          <w:lang w:eastAsia="zh-CN"/>
        </w:rPr>
        <w:t>。</w:t>
      </w:r>
    </w:p>
    <w:p>
      <w:pPr>
        <w:keepNext w:val="0"/>
        <w:keepLines w:val="0"/>
        <w:pageBreakBefore w:val="0"/>
        <w:widowControl/>
        <w:kinsoku/>
        <w:wordWrap/>
        <w:overflowPunct/>
        <w:topLinePunct w:val="0"/>
        <w:autoSpaceDE/>
        <w:autoSpaceDN/>
        <w:bidi w:val="0"/>
        <w:adjustRightInd/>
        <w:snapToGrid/>
        <w:spacing w:line="579" w:lineRule="atLeast"/>
        <w:ind w:firstLine="632" w:firstLineChars="200"/>
        <w:textAlignment w:val="baseline"/>
        <w:outlineLvl w:val="9"/>
        <w:rPr>
          <w:rFonts w:eastAsia="方正楷体_GBK"/>
          <w:szCs w:val="32"/>
        </w:rPr>
      </w:pPr>
      <w:r>
        <w:rPr>
          <w:rFonts w:eastAsia="方正楷体_GBK"/>
          <w:szCs w:val="32"/>
        </w:rPr>
        <w:t>（三）推动教育高质量发展</w:t>
      </w:r>
      <w:bookmarkEnd w:id="68"/>
      <w:bookmarkEnd w:id="69"/>
      <w:bookmarkEnd w:id="70"/>
      <w:bookmarkEnd w:id="71"/>
    </w:p>
    <w:p>
      <w:pPr>
        <w:keepNext/>
        <w:keepLines/>
        <w:pageBreakBefore w:val="0"/>
        <w:widowControl/>
        <w:kinsoku/>
        <w:wordWrap/>
        <w:overflowPunct/>
        <w:topLinePunct w:val="0"/>
        <w:autoSpaceDE/>
        <w:autoSpaceDN/>
        <w:bidi w:val="0"/>
        <w:adjustRightInd/>
        <w:snapToGrid/>
        <w:spacing w:line="579" w:lineRule="exact"/>
        <w:ind w:firstLine="632" w:firstLineChars="200"/>
        <w:textAlignment w:val="baseline"/>
        <w:outlineLvl w:val="2"/>
        <w:rPr>
          <w:b/>
          <w:szCs w:val="22"/>
        </w:rPr>
      </w:pPr>
      <w:bookmarkStart w:id="72" w:name="_Toc18844"/>
      <w:bookmarkStart w:id="73" w:name="_Toc14117"/>
      <w:bookmarkStart w:id="74" w:name="_Toc84686323"/>
      <w:bookmarkStart w:id="75" w:name="_Toc76328202"/>
      <w:r>
        <w:rPr>
          <w:b/>
          <w:szCs w:val="22"/>
        </w:rPr>
        <w:t>11.推进学前教育普及普惠</w:t>
      </w:r>
      <w:bookmarkEnd w:id="72"/>
      <w:bookmarkEnd w:id="73"/>
      <w:r>
        <w:rPr>
          <w:b/>
          <w:szCs w:val="22"/>
        </w:rPr>
        <w:t>发展</w:t>
      </w:r>
      <w:bookmarkEnd w:id="74"/>
      <w:bookmarkEnd w:id="75"/>
    </w:p>
    <w:p>
      <w:pPr>
        <w:pageBreakBefore w:val="0"/>
        <w:widowControl/>
        <w:tabs>
          <w:tab w:val="left" w:pos="1302"/>
        </w:tabs>
        <w:kinsoku/>
        <w:wordWrap/>
        <w:overflowPunct/>
        <w:topLinePunct w:val="0"/>
        <w:autoSpaceDE/>
        <w:autoSpaceDN/>
        <w:bidi w:val="0"/>
        <w:adjustRightInd/>
        <w:snapToGrid/>
        <w:spacing w:line="579" w:lineRule="exact"/>
        <w:ind w:firstLine="632" w:firstLineChars="200"/>
        <w:textAlignment w:val="baseline"/>
        <w:rPr>
          <w:szCs w:val="32"/>
        </w:rPr>
      </w:pPr>
      <w:r>
        <w:rPr>
          <w:b/>
          <w:bCs/>
          <w:szCs w:val="32"/>
        </w:rPr>
        <w:t>构建普惠性办园体系</w:t>
      </w:r>
      <w:r>
        <w:rPr>
          <w:rFonts w:eastAsia="方正黑体_GBK"/>
          <w:szCs w:val="32"/>
        </w:rPr>
        <w:t>。</w:t>
      </w:r>
      <w:r>
        <w:rPr>
          <w:szCs w:val="32"/>
        </w:rPr>
        <w:t>继续实施学前教育行动计划，大力发展普惠性幼儿园。着力构建以普惠性资源为主体的办园体系，积极支持普惠性民办幼儿园发展，引导社会力量更多举办普惠性幼儿园，做好普惠性民办幼儿园认定和管理工作，通过专项发展资金倾斜、购买服务、综合奖补、结对帮扶、培训教师、教研指导等方式，支持普惠性民办幼儿园发展。到2025年，学前三年毛入园率达到</w:t>
      </w:r>
      <w:r>
        <w:rPr>
          <w:rFonts w:hint="eastAsia"/>
          <w:szCs w:val="32"/>
        </w:rPr>
        <w:t>93</w:t>
      </w:r>
      <w:r>
        <w:rPr>
          <w:szCs w:val="32"/>
        </w:rPr>
        <w:t>%以上，普惠性幼儿园覆盖率达到90%，公办园在园幼儿占比达到55%以上。</w:t>
      </w:r>
    </w:p>
    <w:p>
      <w:pPr>
        <w:widowControl/>
        <w:tabs>
          <w:tab w:val="left" w:pos="1302"/>
        </w:tabs>
        <w:spacing w:line="579" w:lineRule="exact"/>
        <w:ind w:firstLine="632" w:firstLineChars="200"/>
        <w:textAlignment w:val="baseline"/>
        <w:rPr>
          <w:rFonts w:eastAsia="方正黑体_GBK"/>
          <w:szCs w:val="32"/>
        </w:rPr>
      </w:pPr>
      <w:r>
        <w:rPr>
          <w:b/>
          <w:bCs/>
          <w:szCs w:val="32"/>
        </w:rPr>
        <w:t>建立幼儿园科学保教机制。</w:t>
      </w:r>
      <w:r>
        <w:rPr>
          <w:szCs w:val="32"/>
        </w:rPr>
        <w:t>坚持保教并重，合理安排幼儿生活作息。健全学前教育教研网络，加强区域教研和园本教研，加强对保教工作的专业指导，提高幼儿园教师保教能力。落实幼儿园保教质量评估指南，完善幼儿园动态监管机制，规范办园行为，开展幼儿园“小学化”专项治理行动。实施优质幼儿园与农村乡镇幼儿园结对帮扶计划。加强幼儿园安全保障工作，建立健全幼儿园安全责任制和责任追究制，严格幼儿园接送学生车辆的安全管理。</w:t>
      </w:r>
    </w:p>
    <w:p>
      <w:pPr>
        <w:keepNext/>
        <w:keepLines/>
        <w:widowControl/>
        <w:spacing w:line="579" w:lineRule="exact"/>
        <w:ind w:firstLine="632" w:firstLineChars="200"/>
        <w:textAlignment w:val="baseline"/>
        <w:outlineLvl w:val="2"/>
        <w:rPr>
          <w:b/>
          <w:szCs w:val="22"/>
        </w:rPr>
      </w:pPr>
      <w:bookmarkStart w:id="76" w:name="_Toc21785"/>
      <w:bookmarkStart w:id="77" w:name="_Toc29911"/>
      <w:bookmarkStart w:id="78" w:name="_Toc76328203"/>
      <w:bookmarkStart w:id="79" w:name="_Toc84686324"/>
      <w:r>
        <w:rPr>
          <w:b/>
          <w:szCs w:val="22"/>
        </w:rPr>
        <w:t>12.推动义务教育优质均衡</w:t>
      </w:r>
      <w:bookmarkEnd w:id="76"/>
      <w:bookmarkEnd w:id="77"/>
      <w:r>
        <w:rPr>
          <w:b/>
          <w:szCs w:val="22"/>
        </w:rPr>
        <w:t>发展</w:t>
      </w:r>
      <w:bookmarkEnd w:id="78"/>
      <w:bookmarkEnd w:id="79"/>
    </w:p>
    <w:p>
      <w:pPr>
        <w:widowControl/>
        <w:spacing w:line="579" w:lineRule="exact"/>
        <w:ind w:firstLine="632" w:firstLineChars="200"/>
        <w:textAlignment w:val="baseline"/>
        <w:rPr>
          <w:szCs w:val="32"/>
        </w:rPr>
      </w:pPr>
      <w:r>
        <w:rPr>
          <w:b/>
          <w:szCs w:val="32"/>
        </w:rPr>
        <w:t>健全减负提质机制。</w:t>
      </w:r>
      <w:r>
        <w:rPr>
          <w:szCs w:val="32"/>
        </w:rPr>
        <w:t>深入贯彻《中共中央办公厅 国务院办公厅关于进一步减轻义务</w:t>
      </w:r>
      <w:r>
        <mc:AlternateContent>
          <mc:Choice Requires="wps">
            <w:drawing>
              <wp:anchor distT="0" distB="0" distL="114300" distR="114300" simplePos="0" relativeHeight="251658240" behindDoc="0" locked="0" layoutInCell="1" allowOverlap="1">
                <wp:simplePos x="0" y="0"/>
                <wp:positionH relativeFrom="column">
                  <wp:posOffset>720090</wp:posOffset>
                </wp:positionH>
                <wp:positionV relativeFrom="paragraph">
                  <wp:posOffset>9725025</wp:posOffset>
                </wp:positionV>
                <wp:extent cx="6120130" cy="0"/>
                <wp:effectExtent l="0" t="38100" r="13970" b="3810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76200" cmpd="thinThick">
                          <a:solidFill>
                            <a:srgbClr val="FF0000"/>
                          </a:solidFill>
                          <a:round/>
                        </a:ln>
                        <a:effectLst/>
                      </wps:spPr>
                      <wps:bodyPr/>
                    </wps:wsp>
                  </a:graphicData>
                </a:graphic>
              </wp:anchor>
            </w:drawing>
          </mc:Choice>
          <mc:Fallback>
            <w:pict>
              <v:line id="_x0000_s1026" o:spid="_x0000_s1026" o:spt="20" style="position:absolute;left:0pt;margin-left:56.7pt;margin-top:765.75pt;height:0pt;width:481.9pt;z-index:251658240;mso-width-relative:page;mso-height-relative:page;" filled="f" stroked="t" coordsize="21600,21600" o:gfxdata="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AiAM7W1gAAAA4BAAAPAAAAAAAAAAEAIAAAADgAAABkcnMvZG93bnJldi54bWxQSwECFAAU&#10;AAAACACHTuJA5yw0a90BAAB/AwAADgAAAAAAAAABACAAAAA7AQAAZHJzL2Uyb0RvYy54bWxQSwUG&#10;AAAAAAYABgBZAQAAigUAAAAA&#10;">
                <v:fill on="f" focussize="0,0"/>
                <v:stroke weight="6pt" color="#FF0000" linestyle="thinThick" joinstyle="round"/>
                <v:imagedata o:title=""/>
                <o:lock v:ext="edit" aspectratio="f"/>
              </v:line>
            </w:pict>
          </mc:Fallback>
        </mc:AlternateContent>
      </w:r>
      <w:r>
        <w:rPr>
          <w:szCs w:val="32"/>
        </w:rPr>
        <w:t>教育阶段学生作业负担和校外培训负担的意见》，</w:t>
      </w:r>
      <w:r>
        <w:rPr>
          <w:bCs/>
          <w:szCs w:val="32"/>
        </w:rPr>
        <w:t>强化学校教育主阵地作用，深化校外培训机构治理，让学生学习更好回归校园</w:t>
      </w:r>
      <w:r>
        <w:rPr>
          <w:szCs w:val="32"/>
        </w:rPr>
        <w:t>。严格按照课程标准开展教学，坚决禁止违规补课等行为。建立健全中小学课后服务制度，加强家庭教育指导服务。创新教学方式，融合传统与现代技术教学手段，重视和推行情境教学；探索基于学科的课程综合化教学，积极开展研究型、项目化、合作式学习，重视差异化教学和个性化辅导。完善作业考试辅导，统筹安排作业数量和时间，提高作业设计、布置与批改质量，优化考试内容与形式。</w:t>
      </w:r>
    </w:p>
    <w:p>
      <w:pPr>
        <w:widowControl/>
        <w:spacing w:line="579" w:lineRule="exact"/>
        <w:ind w:firstLine="632" w:firstLineChars="200"/>
        <w:textAlignment w:val="baseline"/>
        <w:rPr>
          <w:szCs w:val="32"/>
        </w:rPr>
      </w:pPr>
      <w:r>
        <w:rPr>
          <w:b/>
          <w:szCs w:val="32"/>
        </w:rPr>
        <w:t>促进城乡优质均衡。</w:t>
      </w:r>
      <w:r>
        <w:rPr>
          <w:szCs w:val="32"/>
        </w:rPr>
        <w:t>巩固义务教育发展基本均衡区成果，深入推进学校标准化建设，落实标准班额推进计划，加大中心城区中小学建设力度，建成3~5所渝东南一流名校，1~2所重庆市一流名校。提质发展义务教育阶段薄弱学校，解决义务教育资源供给结构性矛盾。完善城乡学校对口帮扶、捆绑融合发展机制，实现资源共享、优势互补，把农村中小学办成“小精特”学校，建好“百姓身边好学校”。加大城乡学校校长和教师交流力度，完善青年教师支教制度，建立教育教学教研共同体，切实缩小城乡和校际差距，</w:t>
      </w:r>
      <w:r>
        <w:rPr>
          <w:rFonts w:hint="eastAsia"/>
          <w:szCs w:val="32"/>
        </w:rPr>
        <w:t>力争</w:t>
      </w:r>
      <w:r>
        <w:rPr>
          <w:szCs w:val="32"/>
        </w:rPr>
        <w:t>建成全国义务教育优质均衡发展区。</w:t>
      </w:r>
    </w:p>
    <w:p>
      <w:pPr>
        <w:keepNext/>
        <w:keepLines/>
        <w:widowControl/>
        <w:spacing w:line="579" w:lineRule="exact"/>
        <w:ind w:firstLine="632" w:firstLineChars="200"/>
        <w:textAlignment w:val="baseline"/>
        <w:outlineLvl w:val="2"/>
        <w:rPr>
          <w:b/>
          <w:szCs w:val="22"/>
        </w:rPr>
      </w:pPr>
      <w:bookmarkStart w:id="80" w:name="_Toc76328204"/>
      <w:bookmarkStart w:id="81" w:name="_Toc13732"/>
      <w:bookmarkStart w:id="82" w:name="_Toc2751"/>
      <w:bookmarkStart w:id="83" w:name="_Toc84686325"/>
      <w:r>
        <w:rPr>
          <w:b/>
          <w:szCs w:val="22"/>
        </w:rPr>
        <w:t>13.推进普通高中教育特色发展</w:t>
      </w:r>
      <w:bookmarkEnd w:id="80"/>
      <w:bookmarkEnd w:id="81"/>
      <w:bookmarkEnd w:id="82"/>
      <w:bookmarkEnd w:id="83"/>
    </w:p>
    <w:p>
      <w:pPr>
        <w:widowControl/>
        <w:spacing w:line="579" w:lineRule="exact"/>
        <w:ind w:firstLine="632" w:firstLineChars="200"/>
        <w:textAlignment w:val="baseline"/>
        <w:rPr>
          <w:szCs w:val="32"/>
        </w:rPr>
      </w:pPr>
      <w:r>
        <w:rPr>
          <w:b/>
          <w:bCs/>
          <w:szCs w:val="32"/>
        </w:rPr>
        <w:t>深化新课程教学改革。</w:t>
      </w:r>
      <w:r>
        <w:rPr>
          <w:szCs w:val="32"/>
        </w:rPr>
        <w:t>全面实施普通高中新课程新教材。完善学校课程管理，开齐开足学科课程，加强课程实施监管。大力推行行政班与教学班并存的教育教学管理制度，构建规范有序、科学高效的选课走班运行机制。深化课堂教学改革，积极探索和推行互动式、启发式、探究式、体验式教学，加强跨学科综合性教学，深入开展验证性试验和探究性实验教学。完善教学管理规范，强化教学常规管理，优化改进教学。完善学生发展指导制度，加强对学生理想、心理、学习、生活、生涯规划等方面指导。</w:t>
      </w:r>
    </w:p>
    <w:p>
      <w:pPr>
        <w:widowControl/>
        <w:spacing w:line="579" w:lineRule="exact"/>
        <w:ind w:firstLine="632" w:firstLineChars="200"/>
        <w:textAlignment w:val="baseline"/>
        <w:rPr>
          <w:szCs w:val="32"/>
        </w:rPr>
      </w:pPr>
      <w:r>
        <w:rPr>
          <w:b/>
          <w:bCs/>
          <w:szCs w:val="32"/>
        </w:rPr>
        <w:t>全面提升高中办学水平。</w:t>
      </w:r>
      <w:r>
        <w:rPr>
          <w:szCs w:val="32"/>
        </w:rPr>
        <w:t>健全完善普通高中办学条件保障机制，落实“优质高中教育建设行动计划”，到2022年黔江中学、新华中学、民族中学、国维学校的校舍场地、设施设备、师资队伍、经费投入等基础条件保障水平基本能满足新高考新课程改革需要。大力实施第二期高中发展促进计划，建成新华中学音乐厅、民族中学美术馆，办学规模稳定在1.5万人左右，教育质量全面领跑渝东南。高中教育在渝东南和武陵山地区的吸引力、影响力显著增强。</w:t>
      </w:r>
    </w:p>
    <w:p>
      <w:pPr>
        <w:keepNext/>
        <w:keepLines/>
        <w:widowControl/>
        <w:spacing w:line="579" w:lineRule="exact"/>
        <w:ind w:firstLine="632" w:firstLineChars="200"/>
        <w:textAlignment w:val="baseline"/>
        <w:outlineLvl w:val="2"/>
        <w:rPr>
          <w:b/>
          <w:szCs w:val="22"/>
        </w:rPr>
      </w:pPr>
      <w:bookmarkStart w:id="84" w:name="_Toc84686326"/>
      <w:bookmarkStart w:id="85" w:name="_Toc28522"/>
      <w:bookmarkStart w:id="86" w:name="_Toc14588"/>
      <w:bookmarkStart w:id="87" w:name="_Toc76328205"/>
      <w:r>
        <w:rPr>
          <w:b/>
          <w:szCs w:val="22"/>
        </w:rPr>
        <w:t>14.推动</w:t>
      </w:r>
      <w:r>
        <w:rPr>
          <w:rFonts w:hint="eastAsia"/>
          <w:b/>
          <w:szCs w:val="22"/>
        </w:rPr>
        <w:t>职业教育</w:t>
      </w:r>
      <w:r>
        <w:rPr>
          <w:b/>
          <w:szCs w:val="22"/>
        </w:rPr>
        <w:t>内涵发展</w:t>
      </w:r>
      <w:bookmarkEnd w:id="84"/>
      <w:bookmarkEnd w:id="85"/>
      <w:bookmarkEnd w:id="86"/>
      <w:bookmarkEnd w:id="87"/>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推进</w:t>
      </w:r>
      <w:r>
        <w:rPr>
          <w:rFonts w:hint="eastAsia"/>
          <w:b/>
          <w:bCs/>
          <w:szCs w:val="32"/>
        </w:rPr>
        <w:t>职业院校</w:t>
      </w:r>
      <w:r>
        <w:rPr>
          <w:b/>
          <w:bCs/>
          <w:szCs w:val="32"/>
        </w:rPr>
        <w:t>高水平办学。</w:t>
      </w:r>
      <w:r>
        <w:rPr>
          <w:rFonts w:hint="eastAsia"/>
          <w:szCs w:val="32"/>
        </w:rPr>
        <w:t>深入贯彻落实《职业教育提质培优行动计划》，大力推行德技并修的职业教育育人模式，注重学生工匠精神和精益求精习惯养成，全面落实“三教”改革，完善人才培养质量标准体系，推动职业教育内涵发展。推进市级高水平专业化产教融合实训基地和市级高水平中等职业学校建设。2023年，争创市级高校高水平科技创新平台1个、高校创新研究群体1个，职教中心建成重庆市“双优”A类中职学校，国家级高技能人才培训基地，汽车与电子2个市级高水平专业群。2025年，力争取得10项国家级标志性成果，15项市级标志性成果，</w:t>
      </w:r>
      <w:r>
        <w:rPr>
          <w:szCs w:val="32"/>
        </w:rPr>
        <w:t>重庆旅游职业学院建成具有鲜明旅游特色的全国知名的应用创新型院校，</w:t>
      </w:r>
      <w:r>
        <w:rPr>
          <w:rFonts w:hint="eastAsia"/>
          <w:szCs w:val="32"/>
        </w:rPr>
        <w:t>重庆经贸职业学院建成优质高职院校，职教中心建成国家级优质中职学校。</w:t>
      </w:r>
    </w:p>
    <w:p>
      <w:pPr>
        <w:keepNext w:val="0"/>
        <w:keepLines w:val="0"/>
        <w:pageBreakBefore w:val="0"/>
        <w:widowControl/>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完善职业教育和培训体系。</w:t>
      </w:r>
      <w:r>
        <w:rPr>
          <w:szCs w:val="32"/>
        </w:rPr>
        <w:t>“十四五”职业教育规模达3万人以上。统筹普通高中和中职学校招生计划，确保普通高中和中职学生比例大体相当。深化中职与高职一体化人才培养</w:t>
      </w:r>
      <w:r>
        <w:rPr>
          <w:rFonts w:hint="eastAsia"/>
          <w:szCs w:val="32"/>
        </w:rPr>
        <w:t>模式</w:t>
      </w:r>
      <w:r>
        <w:rPr>
          <w:szCs w:val="32"/>
        </w:rPr>
        <w:t>改革，</w:t>
      </w:r>
      <w:r>
        <w:rPr>
          <w:rFonts w:hint="eastAsia"/>
          <w:szCs w:val="32"/>
        </w:rPr>
        <w:t>不断扩大“</w:t>
      </w:r>
      <w:r>
        <w:rPr>
          <w:szCs w:val="32"/>
        </w:rPr>
        <w:t>五年制</w:t>
      </w:r>
      <w:r>
        <w:rPr>
          <w:rFonts w:hint="eastAsia"/>
          <w:szCs w:val="32"/>
        </w:rPr>
        <w:t>”</w:t>
      </w:r>
      <w:r>
        <w:rPr>
          <w:szCs w:val="32"/>
        </w:rPr>
        <w:t>、“3+</w:t>
      </w:r>
      <w:r>
        <w:rPr>
          <w:rFonts w:hint="eastAsia"/>
          <w:szCs w:val="32"/>
        </w:rPr>
        <w:t>4</w:t>
      </w:r>
      <w:r>
        <w:rPr>
          <w:szCs w:val="32"/>
        </w:rPr>
        <w:t>”等</w:t>
      </w:r>
      <w:r>
        <w:rPr>
          <w:rFonts w:hint="eastAsia"/>
          <w:szCs w:val="32"/>
        </w:rPr>
        <w:t>贯通培养办学规模</w:t>
      </w:r>
      <w:r>
        <w:rPr>
          <w:szCs w:val="32"/>
        </w:rPr>
        <w:t>，</w:t>
      </w:r>
      <w:r>
        <w:rPr>
          <w:rFonts w:hint="eastAsia"/>
          <w:szCs w:val="32"/>
        </w:rPr>
        <w:t>促进各层次职业教育有效衔接。完善人才培养质量标准体系，落实专业教育标准与职业标准联动开发与实施机制。推进职业教育与基础教育、高等教育、终身教育有效融通。</w:t>
      </w:r>
      <w:r>
        <w:rPr>
          <w:szCs w:val="32"/>
        </w:rPr>
        <w:t>加强“双师型”教师建设，提高教师专业水平。</w:t>
      </w:r>
      <w:r>
        <w:rPr>
          <w:rFonts w:hint="eastAsia"/>
          <w:szCs w:val="32"/>
        </w:rPr>
        <w:t>推进职业院校育训结合，</w:t>
      </w:r>
      <w:r>
        <w:rPr>
          <w:szCs w:val="32"/>
        </w:rPr>
        <w:t>加强各层次职业技术技能培训，推进“1+X”证书制度工作。</w:t>
      </w:r>
    </w:p>
    <w:p>
      <w:pPr>
        <w:keepNext w:val="0"/>
        <w:keepLines w:val="0"/>
        <w:pageBreakBefore w:val="0"/>
        <w:widowControl/>
        <w:kinsoku/>
        <w:wordWrap/>
        <w:overflowPunct/>
        <w:topLinePunct w:val="0"/>
        <w:autoSpaceDE/>
        <w:autoSpaceDN/>
        <w:bidi w:val="0"/>
        <w:adjustRightInd/>
        <w:snapToGrid/>
        <w:spacing w:line="579" w:lineRule="exact"/>
        <w:ind w:firstLine="632" w:firstLineChars="200"/>
        <w:textAlignment w:val="baseline"/>
        <w:outlineLvl w:val="9"/>
        <w:rPr>
          <w:rFonts w:hint="eastAsia"/>
          <w:szCs w:val="32"/>
        </w:rPr>
      </w:pPr>
      <w:r>
        <w:rPr>
          <w:b/>
          <w:bCs/>
          <w:szCs w:val="32"/>
        </w:rPr>
        <w:t>推进职业教育产教融合。</w:t>
      </w:r>
      <w:r>
        <w:rPr>
          <w:szCs w:val="32"/>
        </w:rPr>
        <w:t>完善专业课程衔接体系，统筹安排开展中高职衔接专业的公共基础课、专业课和顶岗实习，研究制订中高职衔接专业教学标准，注重中高职在培养规格、课程设置、工学比例、教学内容、教学方式方法、教学资源配置上的衔接，鼓励开发中高职衔接教材和教学资源。深化产教融合和校企合作，完善职业教育联席会议制度，实施“双基地”建设，深化“引企入教”改革。健全专业动态调整机制，改善实训条件，多途径、多形式加强校外实训基地建设。加强和改进公共基础课教学，严格教学管理，建立职业院校教学工作诊断与改进制度。</w:t>
      </w:r>
      <w:r>
        <w:rPr>
          <w:rFonts w:hint="eastAsia"/>
          <w:szCs w:val="32"/>
        </w:rPr>
        <w:t>推动武陵山职业教育集团创建国家级示范性职业教育集团（联盟）。</w:t>
      </w:r>
      <w:bookmarkStart w:id="88" w:name="_Toc18537"/>
      <w:bookmarkStart w:id="89" w:name="_Toc84686327"/>
      <w:bookmarkStart w:id="90" w:name="_Toc11240"/>
      <w:bookmarkStart w:id="91" w:name="_Toc76328208"/>
      <w:bookmarkStart w:id="92" w:name="_Toc76328206"/>
      <w:bookmarkStart w:id="93" w:name="_Toc886"/>
      <w:bookmarkStart w:id="94" w:name="_Toc18096"/>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b/>
          <w:szCs w:val="22"/>
        </w:rPr>
      </w:pPr>
      <w:r>
        <w:rPr>
          <w:b/>
          <w:szCs w:val="22"/>
        </w:rPr>
        <w:t>15.推动高等教育快速发展</w:t>
      </w:r>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rFonts w:eastAsia="宋体"/>
          <w:sz w:val="21"/>
          <w:szCs w:val="22"/>
        </w:rPr>
      </w:pPr>
      <w:r>
        <w:rPr>
          <w:rFonts w:hint="eastAsia"/>
          <w:szCs w:val="32"/>
        </w:rPr>
        <w:t>加强经济社会发展亟需领域的新兴学科建设，持续推进高校立足特色、科学定位，实现高质量发展，</w:t>
      </w:r>
      <w:r>
        <w:rPr>
          <w:szCs w:val="32"/>
        </w:rPr>
        <w:t>推进</w:t>
      </w:r>
      <w:r>
        <w:rPr>
          <w:rFonts w:hint="eastAsia"/>
          <w:szCs w:val="32"/>
        </w:rPr>
        <w:t>高职院校</w:t>
      </w:r>
      <w:r>
        <w:rPr>
          <w:szCs w:val="32"/>
        </w:rPr>
        <w:t>“双高计划”</w:t>
      </w:r>
      <w:r>
        <w:rPr>
          <w:rFonts w:hint="eastAsia"/>
          <w:szCs w:val="32"/>
        </w:rPr>
        <w:t>、专业群建设。强化创新创业实践，整合校内外实践资源，加强大学生创新创业与社会需求对接，建好众创空间和孵化基地，激发学生创新潜能，增强创业就业能力，鼓励和引导更多优秀大学生留黔就业创业。</w:t>
      </w:r>
      <w:r>
        <w:rPr>
          <w:szCs w:val="32"/>
        </w:rPr>
        <w:t>到2025年，高等院校在校学生达到2万人以上。支持重庆旅游职业学院、重庆经贸职业学院创办本科层次职业院校。</w:t>
      </w:r>
    </w:p>
    <w:p>
      <w:pPr>
        <w:keepNext/>
        <w:keepLines/>
        <w:pageBreakBefore w:val="0"/>
        <w:widowControl/>
        <w:kinsoku/>
        <w:wordWrap/>
        <w:overflowPunct/>
        <w:topLinePunct w:val="0"/>
        <w:autoSpaceDE/>
        <w:autoSpaceDN/>
        <w:bidi w:val="0"/>
        <w:adjustRightInd/>
        <w:snapToGrid/>
        <w:spacing w:line="579" w:lineRule="exact"/>
        <w:ind w:firstLine="632" w:firstLineChars="200"/>
        <w:textAlignment w:val="baseline"/>
        <w:outlineLvl w:val="2"/>
        <w:rPr>
          <w:b/>
          <w:szCs w:val="22"/>
        </w:rPr>
      </w:pPr>
      <w:bookmarkStart w:id="95" w:name="_Toc84686328"/>
      <w:r>
        <w:rPr>
          <w:b/>
          <w:szCs w:val="22"/>
        </w:rPr>
        <w:t>16.推进特殊教育融合发展</w:t>
      </w:r>
      <w:bookmarkEnd w:id="92"/>
      <w:bookmarkEnd w:id="93"/>
      <w:bookmarkEnd w:id="94"/>
      <w:bookmarkEnd w:id="95"/>
    </w:p>
    <w:p>
      <w:pPr>
        <w:pageBreakBefore w:val="0"/>
        <w:widowControl/>
        <w:kinsoku/>
        <w:wordWrap/>
        <w:overflowPunct/>
        <w:topLinePunct w:val="0"/>
        <w:autoSpaceDE/>
        <w:autoSpaceDN/>
        <w:bidi w:val="0"/>
        <w:adjustRightInd/>
        <w:snapToGrid/>
        <w:spacing w:line="579" w:lineRule="exact"/>
        <w:ind w:firstLine="632" w:firstLineChars="200"/>
        <w:textAlignment w:val="baseline"/>
        <w:rPr>
          <w:szCs w:val="32"/>
        </w:rPr>
      </w:pPr>
      <w:r>
        <w:rPr>
          <w:b/>
          <w:bCs/>
          <w:szCs w:val="32"/>
        </w:rPr>
        <w:t>完善特殊教育融合发展机制。</w:t>
      </w:r>
      <w:r>
        <w:rPr>
          <w:szCs w:val="32"/>
        </w:rPr>
        <w:t>实施新一轮特殊教育提升计划，健全未入学残疾儿童少年残疾状况和教育需求实名登记制度。完善和规范送教上门服务制度，提高残疾少年儿童教育普及水平。到2022年，全区适龄儿童少年入学率达到100%，实现残疾儿童少年义务教育的全面普及。支持特殊教育学校为随班就读的残疾学生提供特殊教育指导和支持服务，发展残疾儿童学前教育，发展职业教育为主的残疾人高中阶段教育，促进残疾人高等教育和继续教育发展，支持各种职业教育培训机构加强残疾人职业技能培训。促进医教结合，开设必要的康复训练课。建立健全教育评价、督导检查和支持保障制度</w:t>
      </w:r>
      <w:r>
        <w:rPr>
          <w:rFonts w:hint="eastAsia"/>
          <w:szCs w:val="32"/>
        </w:rPr>
        <w:t>。</w:t>
      </w:r>
    </w:p>
    <w:p>
      <w:pPr>
        <w:widowControl/>
        <w:spacing w:line="579" w:lineRule="exact"/>
        <w:ind w:firstLine="632" w:firstLineChars="200"/>
        <w:textAlignment w:val="baseline"/>
        <w:rPr>
          <w:szCs w:val="32"/>
        </w:rPr>
      </w:pPr>
      <w:r>
        <w:rPr>
          <w:b/>
          <w:bCs/>
          <w:szCs w:val="32"/>
        </w:rPr>
        <w:t>增强特殊教育保障能力。</w:t>
      </w:r>
      <w:r>
        <w:rPr>
          <w:rFonts w:hint="eastAsia"/>
          <w:bCs/>
          <w:szCs w:val="32"/>
        </w:rPr>
        <w:t>推进</w:t>
      </w:r>
      <w:r>
        <w:rPr>
          <w:bCs/>
          <w:szCs w:val="32"/>
        </w:rPr>
        <w:t>特殊教育学校迁建工程</w:t>
      </w:r>
      <w:r>
        <w:rPr>
          <w:rFonts w:hint="eastAsia"/>
          <w:bCs/>
          <w:szCs w:val="32"/>
        </w:rPr>
        <w:t>，</w:t>
      </w:r>
      <w:r>
        <w:rPr>
          <w:szCs w:val="32"/>
        </w:rPr>
        <w:t>实施无障碍设施和医教融合设施设备建设，推进特殊教育信息化建设和应用。加强随班就读支持保障体系建设，建设无障碍的学习和生活环境。提高残疾学生资助水平，实行家庭经济困难的残疾学生从义务教育到高中阶段教育的12年免费教育政策。加强课程教材体系建设，深化教育教学改革。完善特殊教育质量监测制度。探索适合残疾学生发展的评价体系，确保评价的科学性、规范性和独立性。</w:t>
      </w:r>
    </w:p>
    <w:p>
      <w:pPr>
        <w:keepNext/>
        <w:keepLines/>
        <w:widowControl/>
        <w:spacing w:line="579" w:lineRule="exact"/>
        <w:ind w:firstLine="632" w:firstLineChars="200"/>
        <w:textAlignment w:val="baseline"/>
        <w:outlineLvl w:val="2"/>
        <w:rPr>
          <w:b/>
          <w:szCs w:val="22"/>
        </w:rPr>
      </w:pPr>
      <w:bookmarkStart w:id="96" w:name="_Toc84686329"/>
      <w:bookmarkStart w:id="97" w:name="_Toc7220"/>
      <w:bookmarkStart w:id="98" w:name="_Toc1982"/>
      <w:bookmarkStart w:id="99" w:name="_Toc76328207"/>
      <w:r>
        <w:rPr>
          <w:b/>
          <w:szCs w:val="22"/>
        </w:rPr>
        <w:t>17.支持民办教育规范健康发展</w:t>
      </w:r>
      <w:bookmarkEnd w:id="96"/>
      <w:bookmarkEnd w:id="97"/>
      <w:bookmarkEnd w:id="98"/>
      <w:bookmarkEnd w:id="99"/>
    </w:p>
    <w:p>
      <w:pPr>
        <w:widowControl/>
        <w:spacing w:line="579" w:lineRule="exact"/>
        <w:ind w:firstLine="632" w:firstLineChars="200"/>
        <w:textAlignment w:val="baseline"/>
        <w:rPr>
          <w:szCs w:val="32"/>
        </w:rPr>
      </w:pPr>
      <w:r>
        <w:rPr>
          <w:b/>
          <w:bCs/>
          <w:szCs w:val="32"/>
        </w:rPr>
        <w:t>稳妥实施分类管理改革。</w:t>
      </w:r>
      <w:r>
        <w:rPr>
          <w:szCs w:val="32"/>
        </w:rPr>
        <w:t>推进区域民办学校分类管理。健全对营利性与非营利民办学校的分类监管机制，进一步完善不同类型民办学校土地、税收、收费和经费扶持政策，支持和规范社会力量依法办学。积极扶持普惠性民办幼儿园。落实政府举办义务教育主体责任，依法规范民办义务教育发展，加强公办学校参与举办民办义务学校整顿治理，营造良好教育生态。坚持破立并举，支持民办普通高中办出特色。鼓励企业举办高质量职业教育。大力推动民办高校向应用型转变，支持民办高校内涵发展。</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rFonts w:hint="eastAsia"/>
          <w:szCs w:val="32"/>
        </w:rPr>
      </w:pPr>
      <w:r>
        <w:rPr>
          <w:rFonts w:hint="eastAsia"/>
          <w:szCs w:val="32"/>
        </w:rPr>
        <w:t>规范民办学校办学行为</w:t>
      </w:r>
      <w:r>
        <w:rPr>
          <w:szCs w:val="32"/>
        </w:rPr>
        <w:t>。健全民办学校评价体系和退出机制。规范非营利性民办学校名称管理。健全民办学校举办者变更规程、民办学校年度检查制度。严格规范民办学校财务和资产管理。强化民办教育督导，</w:t>
      </w:r>
      <w:r>
        <w:rPr>
          <w:rFonts w:hint="eastAsia"/>
          <w:szCs w:val="32"/>
        </w:rPr>
        <w:t>落实</w:t>
      </w:r>
      <w:r>
        <w:rPr>
          <w:szCs w:val="32"/>
        </w:rPr>
        <w:t>第三方质量认证和评估制度。推进民办学校完善内部治理体系，推进民办学校开展现代学校制度改革创新，推进民办学校完善董事会、理事会、监事</w:t>
      </w:r>
      <w:r>
        <w:rPr>
          <w:rFonts w:hint="eastAsia"/>
          <w:szCs w:val="32"/>
        </w:rPr>
        <w:t>（</w:t>
      </w:r>
      <w:r>
        <w:rPr>
          <w:szCs w:val="32"/>
        </w:rPr>
        <w:t>会</w:t>
      </w:r>
      <w:r>
        <w:rPr>
          <w:rFonts w:hint="eastAsia"/>
          <w:szCs w:val="32"/>
        </w:rPr>
        <w:t>）</w:t>
      </w:r>
      <w:r>
        <w:rPr>
          <w:szCs w:val="32"/>
        </w:rPr>
        <w:t>制度。规范校外培训机构，坚持源头治理、系统治理、严格治理，建立健全教育、市场监管、卫生健康等部门和街镇乡联动的</w:t>
      </w:r>
      <w:r>
        <w:rPr>
          <w:rFonts w:hint="eastAsia"/>
          <w:szCs w:val="32"/>
        </w:rPr>
        <w:t>综合治理体系。</w:t>
      </w:r>
      <w:bookmarkStart w:id="100" w:name="_Toc940"/>
      <w:bookmarkStart w:id="101" w:name="_Toc76328209"/>
      <w:bookmarkStart w:id="102" w:name="_Toc84686330"/>
      <w:bookmarkStart w:id="103" w:name="_Toc5530"/>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baseline"/>
        <w:outlineLvl w:val="9"/>
        <w:rPr>
          <w:b/>
          <w:szCs w:val="22"/>
        </w:rPr>
      </w:pPr>
      <w:r>
        <w:rPr>
          <w:b/>
          <w:szCs w:val="22"/>
        </w:rPr>
        <w:t>18.推进终身教育全面发展</w:t>
      </w:r>
      <w:bookmarkEnd w:id="100"/>
      <w:bookmarkEnd w:id="101"/>
      <w:bookmarkEnd w:id="102"/>
      <w:bookmarkEnd w:id="103"/>
    </w:p>
    <w:p>
      <w:pPr>
        <w:pageBreakBefore w:val="0"/>
        <w:widowControl/>
        <w:kinsoku/>
        <w:wordWrap/>
        <w:overflowPunct/>
        <w:topLinePunct w:val="0"/>
        <w:autoSpaceDE/>
        <w:autoSpaceDN/>
        <w:bidi w:val="0"/>
        <w:adjustRightInd/>
        <w:snapToGrid/>
        <w:spacing w:line="579" w:lineRule="exact"/>
        <w:ind w:firstLine="632" w:firstLineChars="200"/>
        <w:textAlignment w:val="baseline"/>
        <w:rPr>
          <w:rFonts w:hint="eastAsia"/>
          <w:szCs w:val="32"/>
        </w:rPr>
      </w:pPr>
      <w:r>
        <w:rPr>
          <w:b/>
          <w:bCs/>
          <w:szCs w:val="32"/>
        </w:rPr>
        <w:t>打造终身教育公共服务平台。</w:t>
      </w:r>
      <w:r>
        <w:rPr>
          <w:szCs w:val="32"/>
        </w:rPr>
        <w:t>利用教师进修学院建设好继续教育基地，大力发展面向社区和农村的继续教育。积极开展青少年校外教育。倡导全民阅读，构建覆盖城乡的图书馆（中心、室）。开发具有黔江地域特色的继续教育系列课程，建设终身学习学分银行及服务体系，完善学习成果认定、积累和转换制度，形成学历教育之间、学历教育与各类非学历教育之间相互融通的人才成长体系，构建市民终身学习的“立交桥”。推行终身职业技能培训制度，培养“技能+智能”双能人才。建立以政府投入为主体，市场、行业、社会组织、学习者等主体共同分担的终身学习经费筹措及保障机制。推动社区教育向基层农村延伸，建全“区-乡镇街道-村（社区）”三级社区教育网络</w:t>
      </w:r>
      <w:r>
        <w:rPr>
          <w:rFonts w:hint="eastAsia"/>
          <w:szCs w:val="32"/>
        </w:rPr>
        <w:t>，</w:t>
      </w:r>
      <w:r>
        <w:rPr>
          <w:szCs w:val="32"/>
        </w:rPr>
        <w:t>创建一批示范性继续教育、社区教育、职工培训基地。主要劳动年龄人口平均受教育年限达到12年。区社区教育学院创建国家级社区教育示范基地。</w:t>
      </w:r>
    </w:p>
    <w:p>
      <w:pPr>
        <w:keepNext w:val="0"/>
        <w:keepLines w:val="0"/>
        <w:pageBreakBefore w:val="0"/>
        <w:widowControl/>
        <w:kinsoku/>
        <w:wordWrap/>
        <w:overflowPunct/>
        <w:topLinePunct w:val="0"/>
        <w:autoSpaceDE/>
        <w:autoSpaceDN/>
        <w:bidi w:val="0"/>
        <w:adjustRightInd/>
        <w:snapToGrid/>
        <w:spacing w:line="579" w:lineRule="exact"/>
        <w:ind w:firstLine="632" w:firstLineChars="200"/>
        <w:textAlignment w:val="baseline"/>
        <w:outlineLvl w:val="9"/>
        <w:rPr>
          <w:szCs w:val="32"/>
        </w:rPr>
      </w:pPr>
      <w:r>
        <w:rPr>
          <w:b/>
          <w:bCs/>
          <w:szCs w:val="32"/>
        </w:rPr>
        <w:t>重视发展老年教育。</w:t>
      </w:r>
      <w:r>
        <w:rPr>
          <w:rFonts w:hint="eastAsia"/>
          <w:szCs w:val="32"/>
        </w:rPr>
        <w:t>搭建老年教育的资源共享和服务平台，扩大老年教育资源供给，助力解决老年人运用智能技术困难等问题。倡导“职继协同”“院校融入”，鼓励职业院校开设与老年教育相关专业，</w:t>
      </w:r>
      <w:r>
        <w:rPr>
          <w:szCs w:val="32"/>
        </w:rPr>
        <w:t>开发</w:t>
      </w:r>
      <w:r>
        <w:rPr>
          <w:rFonts w:hint="eastAsia"/>
          <w:szCs w:val="32"/>
        </w:rPr>
        <w:t>以需求为导向，</w:t>
      </w:r>
      <w:r>
        <w:rPr>
          <w:szCs w:val="32"/>
        </w:rPr>
        <w:t>符合老年人身心特征的课程体系和活动项目，有效满足老年人多样化、多层次养</w:t>
      </w:r>
      <w:r>
        <w:rPr>
          <w:rFonts w:hint="eastAsia"/>
          <w:szCs w:val="32"/>
        </w:rPr>
        <w:t>老</w:t>
      </w:r>
      <w:r>
        <w:rPr>
          <w:szCs w:val="32"/>
        </w:rPr>
        <w:t>需求，老年人获得感、幸福感、安全感显著提高。探索养教结合新模式，为社区、老年教育机构及养老服务机构等提供支持。积极探索部门、行业企业、高校举办老年大学服务社会的途径和方法。区职教中心创建市级老年教育示范基地。</w:t>
      </w:r>
    </w:p>
    <w:p>
      <w:pPr>
        <w:widowControl/>
        <w:tabs>
          <w:tab w:val="center" w:pos="4153"/>
          <w:tab w:val="right" w:pos="8306"/>
        </w:tabs>
        <w:snapToGrid w:val="0"/>
        <w:jc w:val="left"/>
        <w:textAlignment w:val="baseline"/>
        <w:rPr>
          <w:rFonts w:eastAsia="宋体"/>
          <w:kern w:val="0"/>
          <w:sz w:val="18"/>
          <w:szCs w:val="18"/>
        </w:rPr>
      </w:pP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bCs/>
                <w:kern w:val="0"/>
                <w:sz w:val="21"/>
                <w:szCs w:val="21"/>
                <w:lang w:bidi="ar"/>
              </w:rPr>
            </w:pPr>
            <w:bookmarkStart w:id="104" w:name="_Toc29029"/>
            <w:bookmarkStart w:id="105" w:name="_Toc26796"/>
            <w:bookmarkStart w:id="106" w:name="_Toc76328210"/>
            <w:r>
              <w:rPr>
                <w:b/>
                <w:bCs/>
                <w:kern w:val="0"/>
                <w:sz w:val="21"/>
                <w:szCs w:val="21"/>
                <w:lang w:bidi="ar"/>
              </w:rPr>
              <w:t>专栏5：教育质效提升工程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9" w:hRule="atLeast"/>
          <w:jc w:val="center"/>
        </w:trPr>
        <w:tc>
          <w:tcPr>
            <w:tcW w:w="8188"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center" w:pos="4153"/>
                <w:tab w:val="right" w:pos="8306"/>
              </w:tabs>
              <w:snapToGrid w:val="0"/>
              <w:spacing w:line="320" w:lineRule="exact"/>
              <w:ind w:firstLine="412" w:firstLineChars="200"/>
              <w:jc w:val="left"/>
              <w:textAlignment w:val="baseline"/>
              <w:rPr>
                <w:kern w:val="0"/>
                <w:sz w:val="21"/>
                <w:szCs w:val="21"/>
              </w:rPr>
            </w:pPr>
            <w:r>
              <w:rPr>
                <w:b/>
                <w:bCs/>
                <w:kern w:val="0"/>
                <w:sz w:val="21"/>
                <w:szCs w:val="21"/>
              </w:rPr>
              <w:t>1.实施学前教育普惠优质发展计划。</w:t>
            </w:r>
            <w:r>
              <w:rPr>
                <w:kern w:val="0"/>
                <w:sz w:val="21"/>
                <w:szCs w:val="21"/>
              </w:rPr>
              <w:t>实施普惠优质学前教育扩容项目。新增公办幼儿园学位1300个，学前三年毛入园率</w:t>
            </w:r>
            <w:r>
              <w:rPr>
                <w:rFonts w:hint="eastAsia"/>
                <w:kern w:val="0"/>
                <w:sz w:val="21"/>
                <w:szCs w:val="21"/>
              </w:rPr>
              <w:t>93</w:t>
            </w:r>
            <w:r>
              <w:rPr>
                <w:kern w:val="0"/>
                <w:sz w:val="21"/>
                <w:szCs w:val="21"/>
              </w:rPr>
              <w:t>%以上，公办园在园幼儿占比达55％以上，普惠性幼儿园覆盖率巩固在90%以上，二级及以上幼儿园占比达65%以上。</w:t>
            </w:r>
          </w:p>
          <w:p>
            <w:pPr>
              <w:widowControl/>
              <w:spacing w:line="320" w:lineRule="exact"/>
              <w:ind w:firstLine="412" w:firstLineChars="200"/>
              <w:textAlignment w:val="baseline"/>
              <w:rPr>
                <w:kern w:val="0"/>
                <w:sz w:val="21"/>
                <w:szCs w:val="21"/>
              </w:rPr>
            </w:pPr>
            <w:r>
              <w:rPr>
                <w:b/>
                <w:bCs/>
                <w:sz w:val="21"/>
                <w:szCs w:val="21"/>
              </w:rPr>
              <w:t>2.实施义务教育优质均衡发展计划。</w:t>
            </w:r>
            <w:r>
              <w:rPr>
                <w:sz w:val="21"/>
                <w:szCs w:val="21"/>
              </w:rPr>
              <w:t>学区制管理全覆盖。</w:t>
            </w:r>
            <w:r>
              <w:rPr>
                <w:kern w:val="0"/>
                <w:sz w:val="21"/>
                <w:szCs w:val="21"/>
              </w:rPr>
              <w:t>按照义务教育优质均衡督导评估标准，着力解决均衡发展关键指标小学4项、初中5项未达标的问题，从资源配置、政府保障程度、教育质量、社会认可度四个层面向优质均衡努力迈进，建成3-5所渝东南一流名校，1-2所重庆市一流名校。</w:t>
            </w:r>
          </w:p>
          <w:p>
            <w:pPr>
              <w:widowControl/>
              <w:tabs>
                <w:tab w:val="center" w:pos="4153"/>
                <w:tab w:val="right" w:pos="8306"/>
              </w:tabs>
              <w:snapToGrid w:val="0"/>
              <w:spacing w:line="320" w:lineRule="exact"/>
              <w:ind w:firstLine="412" w:firstLineChars="200"/>
              <w:jc w:val="left"/>
              <w:textAlignment w:val="baseline"/>
              <w:rPr>
                <w:kern w:val="0"/>
                <w:sz w:val="21"/>
                <w:szCs w:val="21"/>
              </w:rPr>
            </w:pPr>
            <w:r>
              <w:rPr>
                <w:b/>
                <w:bCs/>
                <w:kern w:val="0"/>
                <w:sz w:val="21"/>
                <w:szCs w:val="21"/>
              </w:rPr>
              <w:t>3.实施第二期高中发展促进计划。</w:t>
            </w:r>
            <w:r>
              <w:rPr>
                <w:kern w:val="0"/>
                <w:sz w:val="21"/>
                <w:szCs w:val="21"/>
              </w:rPr>
              <w:t>建成新华中学音乐厅、民族中学美术馆，建成市级特色示范高中1所、特色高中2所，办学规模稳定在1.5万人左右，基本消除普通高中大班额，教育质量全面领跑渝东南，高中教育在渝东南和武陵山地区的吸引力、影响力显著增强。</w:t>
            </w:r>
          </w:p>
          <w:p>
            <w:pPr>
              <w:widowControl/>
              <w:spacing w:line="320" w:lineRule="exact"/>
              <w:ind w:firstLine="412" w:firstLineChars="200"/>
              <w:textAlignment w:val="baseline"/>
              <w:rPr>
                <w:sz w:val="21"/>
                <w:szCs w:val="22"/>
              </w:rPr>
            </w:pPr>
            <w:r>
              <w:rPr>
                <w:b/>
                <w:bCs/>
                <w:sz w:val="21"/>
                <w:szCs w:val="21"/>
              </w:rPr>
              <w:t>4.实施职业教育品牌发展计划。</w:t>
            </w:r>
            <w:r>
              <w:rPr>
                <w:bCs/>
                <w:sz w:val="21"/>
                <w:szCs w:val="21"/>
              </w:rPr>
              <w:t>全面</w:t>
            </w:r>
            <w:r>
              <w:rPr>
                <w:kern w:val="0"/>
                <w:sz w:val="21"/>
                <w:szCs w:val="21"/>
              </w:rPr>
              <w:t>完成职教中心迁建工程。将职教中心建成全市一流、全国知名的高水平中职学校，建成汽车与电子2个市级高水平专业群。2021年，成功创建市级高水平中等职业学校。</w:t>
            </w:r>
            <w:r>
              <w:rPr>
                <w:rFonts w:hint="eastAsia"/>
                <w:kern w:val="0"/>
                <w:sz w:val="21"/>
                <w:szCs w:val="21"/>
              </w:rPr>
              <w:t>2023年，争创市级高校高水平科技创新平台1个、高校创新研究群体1个，职教中心建成重庆市“双优”A类中职学校，国家级高技能人才培训基地，汽车与电子2个市级高水平专业群。2025年，力争取得10项国家级标志性成果，15项市级标志性成果，</w:t>
            </w:r>
            <w:r>
              <w:rPr>
                <w:kern w:val="0"/>
                <w:sz w:val="21"/>
                <w:szCs w:val="21"/>
              </w:rPr>
              <w:t>重庆旅游职业学院建成具有鲜明旅游特色的全国知名的应用创新型院校，</w:t>
            </w:r>
            <w:r>
              <w:rPr>
                <w:rFonts w:hint="eastAsia"/>
                <w:kern w:val="0"/>
                <w:sz w:val="21"/>
                <w:szCs w:val="21"/>
              </w:rPr>
              <w:t>重庆经贸职业学院建成优质高职院校，职教中心建成国家级优质中职学校，武陵山职业教育集团创建国家级示范性职业教育集团（联盟）。</w:t>
            </w:r>
          </w:p>
        </w:tc>
      </w:tr>
    </w:tbl>
    <w:p>
      <w:pPr>
        <w:keepNext/>
        <w:keepLines/>
        <w:pageBreakBefore w:val="0"/>
        <w:widowControl/>
        <w:kinsoku/>
        <w:wordWrap/>
        <w:overflowPunct/>
        <w:topLinePunct w:val="0"/>
        <w:autoSpaceDE/>
        <w:autoSpaceDN/>
        <w:bidi w:val="0"/>
        <w:adjustRightInd/>
        <w:snapToGrid/>
        <w:spacing w:line="579" w:lineRule="exact"/>
        <w:ind w:firstLine="632" w:firstLineChars="200"/>
        <w:jc w:val="left"/>
        <w:textAlignment w:val="baseline"/>
        <w:outlineLvl w:val="0"/>
        <w:rPr>
          <w:rFonts w:eastAsia="方正黑体_GBK"/>
          <w:bCs/>
          <w:szCs w:val="32"/>
        </w:rPr>
      </w:pPr>
      <w:bookmarkStart w:id="107" w:name="_Toc84686331"/>
      <w:r>
        <w:rPr>
          <w:rFonts w:eastAsia="方正黑体_GBK"/>
          <w:bCs/>
          <w:szCs w:val="32"/>
        </w:rPr>
        <w:t>四、保障</w:t>
      </w:r>
      <w:bookmarkEnd w:id="104"/>
      <w:bookmarkEnd w:id="105"/>
      <w:bookmarkEnd w:id="106"/>
      <w:r>
        <w:rPr>
          <w:rFonts w:eastAsia="方正黑体_GBK"/>
          <w:bCs/>
          <w:szCs w:val="32"/>
        </w:rPr>
        <w:t>措施</w:t>
      </w:r>
      <w:bookmarkEnd w:id="107"/>
    </w:p>
    <w:p>
      <w:pPr>
        <w:keepNext/>
        <w:keepLines/>
        <w:pageBreakBefore w:val="0"/>
        <w:widowControl/>
        <w:kinsoku/>
        <w:wordWrap/>
        <w:overflowPunct/>
        <w:topLinePunct w:val="0"/>
        <w:autoSpaceDE/>
        <w:autoSpaceDN/>
        <w:bidi w:val="0"/>
        <w:adjustRightInd/>
        <w:snapToGrid/>
        <w:spacing w:line="579" w:lineRule="exact"/>
        <w:ind w:firstLine="632" w:firstLineChars="200"/>
        <w:textAlignment w:val="baseline"/>
        <w:outlineLvl w:val="1"/>
        <w:rPr>
          <w:rFonts w:eastAsia="方正楷体_GBK"/>
          <w:szCs w:val="32"/>
        </w:rPr>
      </w:pPr>
      <w:bookmarkStart w:id="108" w:name="_Toc270"/>
      <w:bookmarkStart w:id="109" w:name="_Toc84686332"/>
      <w:bookmarkStart w:id="110" w:name="_Toc12805"/>
      <w:bookmarkStart w:id="111" w:name="_Toc76328211"/>
      <w:bookmarkStart w:id="112" w:name="_Toc276"/>
      <w:r>
        <w:rPr>
          <w:rFonts w:eastAsia="方正楷体_GBK"/>
          <w:szCs w:val="32"/>
        </w:rPr>
        <w:t>（一）加强党对教育工作的全面领导</w:t>
      </w:r>
      <w:bookmarkEnd w:id="108"/>
      <w:bookmarkEnd w:id="109"/>
    </w:p>
    <w:p>
      <w:pPr>
        <w:pageBreakBefore w:val="0"/>
        <w:widowControl/>
        <w:kinsoku/>
        <w:wordWrap/>
        <w:overflowPunct/>
        <w:topLinePunct w:val="0"/>
        <w:autoSpaceDE/>
        <w:autoSpaceDN/>
        <w:bidi w:val="0"/>
        <w:adjustRightInd/>
        <w:snapToGrid/>
        <w:spacing w:line="579" w:lineRule="exact"/>
        <w:ind w:firstLine="632" w:firstLineChars="200"/>
        <w:textAlignment w:val="baseline"/>
        <w:rPr>
          <w:rFonts w:eastAsia="宋体"/>
          <w:sz w:val="21"/>
          <w:szCs w:val="22"/>
        </w:rPr>
      </w:pPr>
      <w:r>
        <w:rPr>
          <w:szCs w:val="32"/>
        </w:rPr>
        <w:t>全面贯彻党的教育方针，牢牢把握社会主义办学方向，落实好立德树人根本任务，把党的领导贯穿办学治校、教书育人全过程。健全党委统一领导、党政齐抓共管、部门各负其责的体制机制，完善党委政府定期研究教育工作机制和联系学校制度</w:t>
      </w:r>
      <w:r>
        <w:rPr>
          <w:rFonts w:hint="eastAsia"/>
          <w:szCs w:val="32"/>
        </w:rPr>
        <w:t>。加强教育工作领导小组及其办事机构建设，配齐配强专业工作队伍，</w:t>
      </w:r>
      <w:r>
        <w:rPr>
          <w:szCs w:val="32"/>
        </w:rPr>
        <w:t>协调解决教育改革发展重大问题。贯彻落实中小学校党组织领导的校长负责制，修订完善党组织会议和校长办公会议事规则，坚持“三重一大”集体决策，全面落实意识形态工作责任制，充分发挥学校党组织的战斗堡垒作用。进一步健全学校党的组织体系，选优配强党组织书记和党建工作队伍，推进党支部标准化规范化建设，认真落实“双培养”制度，确保党的组织和工作全覆盖。强化党员教育管理，严格落实“三会一课”制度，巩固拓展“不忘初心、牢记使命”主题教育成果，推动“四史”学习教育常态化制度化。加强和改进教师队伍思想政治工作，强化理想信念教育。建立党组织主导、校长负责、群团组织参与、家庭社会联动的德育工作机制，培育和践行社会主义核心价值观。严格落实中央八项规定及其实施细则精神，深入推进党风廉政建设和反腐败斗争，营造风清气正良好教育生态。</w:t>
      </w:r>
    </w:p>
    <w:p>
      <w:pPr>
        <w:keepNext/>
        <w:keepLines/>
        <w:widowControl/>
        <w:spacing w:line="579" w:lineRule="exact"/>
        <w:ind w:firstLine="632" w:firstLineChars="200"/>
        <w:textAlignment w:val="baseline"/>
        <w:outlineLvl w:val="1"/>
        <w:rPr>
          <w:rFonts w:eastAsia="方正楷体_GBK"/>
          <w:szCs w:val="32"/>
        </w:rPr>
      </w:pPr>
      <w:bookmarkStart w:id="113" w:name="_Toc84686333"/>
      <w:r>
        <w:rPr>
          <w:rFonts w:eastAsia="方正楷体_GBK"/>
          <w:szCs w:val="32"/>
        </w:rPr>
        <w:t>（二）完善教育经费投入保障机制</w:t>
      </w:r>
      <w:bookmarkEnd w:id="113"/>
    </w:p>
    <w:p>
      <w:pPr>
        <w:widowControl/>
        <w:spacing w:line="579" w:lineRule="exact"/>
        <w:ind w:firstLine="640"/>
        <w:jc w:val="left"/>
        <w:textAlignment w:val="baseline"/>
        <w:rPr>
          <w:szCs w:val="32"/>
        </w:rPr>
      </w:pPr>
      <w:r>
        <w:rPr>
          <w:b/>
          <w:bCs/>
          <w:szCs w:val="32"/>
        </w:rPr>
        <w:t>完善教育投入保障机制。</w:t>
      </w:r>
      <w:r>
        <w:rPr>
          <w:szCs w:val="32"/>
        </w:rPr>
        <w:t>落实财政教育投入持续稳定增长规定，确保一般公共预算教育支出逐年只增不减，确保按在校学生数平均的一般公共预算教育支出逐年只增不减。根据教育领域市与区县共同财政事权和支出责任划分改革要求，按规定严格履行本级教育领域财政事权的责任。逐步提高中小学生、幼儿园公用经费标准。加大政府购买教育公共服务力度。引导多元化教育投入，多渠道筹集教育经费，落实好各项教育惠民政策，健全完善从学前教育到高等教育的全过程教育资助体系。</w:t>
      </w:r>
    </w:p>
    <w:p>
      <w:pPr>
        <w:widowControl/>
        <w:spacing w:line="579" w:lineRule="exact"/>
        <w:ind w:firstLine="640"/>
        <w:jc w:val="left"/>
        <w:textAlignment w:val="baseline"/>
        <w:rPr>
          <w:szCs w:val="32"/>
        </w:rPr>
      </w:pPr>
      <w:r>
        <w:rPr>
          <w:b/>
          <w:bCs/>
          <w:szCs w:val="32"/>
        </w:rPr>
        <w:t>优化财政性教育经费支出结构。</w:t>
      </w:r>
      <w:r>
        <w:rPr>
          <w:szCs w:val="32"/>
        </w:rPr>
        <w:t>加大对学前教育普惠、义务教育优质均衡、高中阶段教育普及、新高考综合改革、职业教育产教融合协同发展、教师待遇提高等方面投入的力度。在保基本的基础上重点向构建中小幼一体化德育体系、深化中小学课程教学改革、转变人才培养模式、提高办学水平育人质量、中职学校学科专业优化、高层次人才引进、产教融合校企合作推进上倾斜。全面实施教育经费绩效管理，提升使用效益。</w:t>
      </w:r>
    </w:p>
    <w:p>
      <w:pPr>
        <w:keepNext/>
        <w:keepLines/>
        <w:widowControl/>
        <w:spacing w:line="579" w:lineRule="exact"/>
        <w:ind w:firstLine="632" w:firstLineChars="200"/>
        <w:textAlignment w:val="baseline"/>
        <w:outlineLvl w:val="1"/>
        <w:rPr>
          <w:rFonts w:eastAsia="方正楷体_GBK"/>
          <w:szCs w:val="32"/>
        </w:rPr>
      </w:pPr>
      <w:bookmarkStart w:id="114" w:name="_Toc84686334"/>
      <w:r>
        <w:rPr>
          <w:rFonts w:eastAsia="方正楷体_GBK"/>
          <w:szCs w:val="32"/>
        </w:rPr>
        <w:t>（三）充分发挥教育督导作用</w:t>
      </w:r>
      <w:bookmarkEnd w:id="114"/>
    </w:p>
    <w:bookmarkEnd w:id="110"/>
    <w:bookmarkEnd w:id="111"/>
    <w:bookmarkEnd w:id="112"/>
    <w:p>
      <w:pPr>
        <w:widowControl/>
        <w:spacing w:line="579" w:lineRule="exact"/>
        <w:ind w:firstLine="641"/>
        <w:textAlignment w:val="baseline"/>
        <w:rPr>
          <w:szCs w:val="32"/>
        </w:rPr>
      </w:pPr>
      <w:bookmarkStart w:id="115" w:name="_Toc26585"/>
      <w:bookmarkStart w:id="116" w:name="_Toc76328213"/>
      <w:bookmarkStart w:id="117" w:name="_Toc30127"/>
      <w:r>
        <w:rPr>
          <w:szCs w:val="32"/>
        </w:rPr>
        <w:t>深化教育督导体制机制改革，健全教育督导机构设置，优化管理体制，完善运行机制，建成全面覆盖、运转高效、结果权威、问责有力的教育督导体制机制，全面落实督政、督学、评估监测职能。完善对区级相关部门、有关单位和乡镇街道履行教育职责评价机制，督促认真履行教育职责。健全区级教育督导机构依据国市标准、分级分类组织实施学校督导的工作机制，指导学校落实立德树人根本任务，规范办学行为，提高教育教学质量，促进教育公平。加强基础教育质量监测，建立教育督导机构统一归口管理、统筹组织实施、多方参与的教育评估监测机制。</w:t>
      </w:r>
    </w:p>
    <w:bookmarkEnd w:id="115"/>
    <w:bookmarkEnd w:id="116"/>
    <w:bookmarkEnd w:id="117"/>
    <w:p>
      <w:pPr>
        <w:keepNext/>
        <w:keepLines/>
        <w:widowControl/>
        <w:spacing w:line="579" w:lineRule="exact"/>
        <w:ind w:firstLine="632" w:firstLineChars="200"/>
        <w:jc w:val="left"/>
        <w:textAlignment w:val="baseline"/>
        <w:outlineLvl w:val="1"/>
        <w:rPr>
          <w:rFonts w:eastAsia="方正楷体_GBK"/>
          <w:szCs w:val="32"/>
        </w:rPr>
      </w:pPr>
      <w:bookmarkStart w:id="118" w:name="_Toc84686335"/>
      <w:r>
        <w:rPr>
          <w:rFonts w:eastAsia="方正楷体_GBK"/>
          <w:szCs w:val="32"/>
        </w:rPr>
        <w:t>（四）维护教育系统安全稳定</w:t>
      </w:r>
      <w:bookmarkEnd w:id="118"/>
    </w:p>
    <w:p>
      <w:pPr>
        <w:widowControl/>
        <w:spacing w:line="579" w:lineRule="exact"/>
        <w:ind w:firstLine="641"/>
        <w:textAlignment w:val="baseline"/>
        <w:rPr>
          <w:szCs w:val="32"/>
        </w:rPr>
      </w:pPr>
      <w:bookmarkStart w:id="119" w:name="_Toc76328214"/>
      <w:bookmarkStart w:id="120" w:name="_Toc19569"/>
      <w:bookmarkStart w:id="121" w:name="_Toc12226"/>
      <w:r>
        <w:rPr>
          <w:b/>
          <w:bCs/>
          <w:szCs w:val="32"/>
        </w:rPr>
        <w:t>完善风险预防体系。</w:t>
      </w:r>
      <w:r>
        <w:rPr>
          <w:szCs w:val="32"/>
        </w:rPr>
        <w:t>健全完善校园安全管理制度、安全事故风险管理机制、安全工作责任制等。构建“互联网+安全防范”体系，强化风险研判，提升校园风险主动发现和预警能力。落实意识形态工作责任制，切实增强政治意识、政权意识、阵地意识，把握教育改革发展正确方向。筑牢网络安全屏障，牢牢掌握意识形态主导权。健全与部门及街道、社区的联动共建机制，加强校园周边环境综合治理，开展校外培训机构清理整顿，持续关注和防范涉教涉校群体性事件的发生，及时化解影响校园及周边安全的突出矛盾及典型敏感事件。会同平安建设、公安等部门加大校园周边重点区域和重要时段巡查力度，管控好重点人群，联合开展专项督导检查，推动环校园安全防护带建设。强化食品卫生安全，加强突发公共事件防控工作，守护师生生命安全。</w:t>
      </w:r>
    </w:p>
    <w:p>
      <w:pPr>
        <w:widowControl/>
        <w:spacing w:line="579" w:lineRule="exact"/>
        <w:ind w:firstLine="641"/>
        <w:textAlignment w:val="baseline"/>
        <w:rPr>
          <w:szCs w:val="32"/>
        </w:rPr>
      </w:pPr>
      <w:r>
        <w:rPr>
          <w:b/>
          <w:bCs/>
          <w:szCs w:val="32"/>
        </w:rPr>
        <w:t>强化校园安全管理。</w:t>
      </w:r>
      <w:r>
        <w:rPr>
          <w:szCs w:val="32"/>
        </w:rPr>
        <w:t>深入推进“平安示范学校”创建。建立完善校园欺凌、性侵犯学生等违法犯罪行为“零容忍”机制和处置机制，严格执行侵害未成年人案件强制报告制度。</w:t>
      </w:r>
      <w:bookmarkEnd w:id="119"/>
      <w:bookmarkEnd w:id="120"/>
      <w:bookmarkEnd w:id="121"/>
      <w:r>
        <w:rPr>
          <w:szCs w:val="32"/>
        </w:rPr>
        <w:t>加大安全隐患排查整治和矛盾纠纷排查调处，大力开展师生安全教育、应急演练。抓实安全管理重点工作，持续做好学生非正常死亡防控工作。加强中小学生思想道德教育、青春期教育和心理健康教育，为中小学生健康成长提供良好的环境。</w:t>
      </w:r>
    </w:p>
    <w:p>
      <w:pPr>
        <w:widowControl/>
        <w:spacing w:line="579" w:lineRule="exact"/>
        <w:ind w:firstLine="641"/>
        <w:textAlignment w:val="baseline"/>
        <w:rPr>
          <w:rFonts w:hint="default" w:ascii="Times New Roman" w:hAnsi="Times New Roman" w:cs="Times New Roman"/>
          <w:szCs w:val="32"/>
          <w:lang w:eastAsia="zh-CN"/>
        </w:rPr>
      </w:pPr>
    </w:p>
    <w:p>
      <w:pPr>
        <w:widowControl/>
        <w:spacing w:line="579" w:lineRule="exact"/>
        <w:ind w:firstLine="641"/>
        <w:textAlignment w:val="baseline"/>
        <w:rPr>
          <w:rFonts w:hint="default" w:ascii="Times New Roman" w:hAnsi="Times New Roman" w:cs="Times New Roman"/>
          <w:szCs w:val="32"/>
        </w:rPr>
      </w:pPr>
      <w:r>
        <w:rPr>
          <w:rFonts w:hint="default" w:ascii="Times New Roman" w:hAnsi="Times New Roman" w:cs="Times New Roman"/>
          <w:szCs w:val="32"/>
          <w:lang w:eastAsia="zh-CN"/>
        </w:rPr>
        <w:t>附件</w:t>
      </w:r>
      <w:r>
        <w:rPr>
          <w:rFonts w:hint="default" w:ascii="Times New Roman" w:hAnsi="Times New Roman" w:cs="Times New Roman"/>
          <w:szCs w:val="32"/>
          <w:lang w:val="en-US" w:eastAsia="zh-CN"/>
        </w:rPr>
        <w:t>1：</w:t>
      </w:r>
      <w:r>
        <w:rPr>
          <w:rFonts w:hint="default" w:ascii="Times New Roman" w:hAnsi="Times New Roman" w:cs="Times New Roman"/>
          <w:szCs w:val="32"/>
        </w:rPr>
        <w:t>政策文件依据</w:t>
      </w:r>
    </w:p>
    <w:p>
      <w:pPr>
        <w:widowControl/>
        <w:spacing w:line="579" w:lineRule="exact"/>
        <w:ind w:firstLine="641"/>
        <w:textAlignment w:val="baseline"/>
        <w:rPr>
          <w:szCs w:val="32"/>
        </w:rPr>
      </w:pPr>
      <w:r>
        <w:rPr>
          <w:rFonts w:hint="default" w:ascii="Times New Roman" w:hAnsi="Times New Roman" w:cs="Times New Roman"/>
          <w:szCs w:val="32"/>
          <w:lang w:eastAsia="zh-CN"/>
        </w:rPr>
        <w:t>附件</w:t>
      </w:r>
      <w:r>
        <w:rPr>
          <w:rFonts w:hint="default" w:ascii="Times New Roman" w:hAnsi="Times New Roman" w:cs="Times New Roman"/>
          <w:szCs w:val="32"/>
          <w:lang w:val="en-US" w:eastAsia="zh-CN"/>
        </w:rPr>
        <w:t>2：</w:t>
      </w:r>
      <w:r>
        <w:rPr>
          <w:szCs w:val="32"/>
        </w:rPr>
        <w:t>黔江区“十四五”规划编制策划储备项目表</w:t>
      </w:r>
    </w:p>
    <w:p>
      <w:pPr>
        <w:widowControl/>
        <w:spacing w:line="579" w:lineRule="exact"/>
        <w:ind w:firstLine="641"/>
        <w:textAlignment w:val="baseline"/>
        <w:rPr>
          <w:rFonts w:hint="eastAsia" w:eastAsia="方正黑体_GBK"/>
          <w:bCs/>
          <w:szCs w:val="32"/>
          <w:lang w:val="en-US" w:eastAsia="zh-CN"/>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eastAsia="方正仿宋_GBK"/>
          <w:lang w:val="en-US" w:eastAsia="zh-CN"/>
        </w:rPr>
      </w:pPr>
    </w:p>
    <w:p>
      <w:pPr>
        <w:keepNext/>
        <w:keepLines/>
        <w:widowControl/>
        <w:spacing w:line="540" w:lineRule="exact"/>
        <w:jc w:val="left"/>
        <w:textAlignment w:val="baseline"/>
        <w:outlineLvl w:val="0"/>
        <w:rPr>
          <w:rFonts w:eastAsia="方正黑体_GBK"/>
          <w:bCs/>
          <w:szCs w:val="32"/>
        </w:rPr>
      </w:pPr>
      <w:bookmarkStart w:id="122" w:name="_Toc84686336"/>
      <w:r>
        <w:rPr>
          <w:rFonts w:eastAsia="方正黑体_GBK"/>
          <w:bCs/>
          <w:szCs w:val="32"/>
        </w:rPr>
        <w:t>附件1</w:t>
      </w:r>
      <w:bookmarkEnd w:id="122"/>
    </w:p>
    <w:p>
      <w:pPr>
        <w:keepNext/>
        <w:keepLines/>
        <w:widowControl/>
        <w:spacing w:line="540" w:lineRule="exact"/>
        <w:jc w:val="center"/>
        <w:textAlignment w:val="baseline"/>
        <w:outlineLvl w:val="0"/>
        <w:rPr>
          <w:rFonts w:eastAsia="方正黑体_GBK"/>
          <w:bCs/>
          <w:szCs w:val="32"/>
        </w:rPr>
      </w:pPr>
      <w:bookmarkStart w:id="123" w:name="_Toc84686337"/>
      <w:r>
        <w:rPr>
          <w:rFonts w:eastAsia="方正黑体_GBK"/>
          <w:bCs/>
          <w:szCs w:val="32"/>
        </w:rPr>
        <w:t>政策文件依据</w:t>
      </w:r>
      <w:bookmarkEnd w:id="123"/>
    </w:p>
    <w:p>
      <w:pPr>
        <w:widowControl/>
        <w:spacing w:line="320" w:lineRule="exact"/>
        <w:ind w:firstLine="552" w:firstLineChars="200"/>
        <w:textAlignment w:val="baseline"/>
        <w:rPr>
          <w:sz w:val="28"/>
          <w:szCs w:val="28"/>
        </w:rPr>
      </w:pPr>
    </w:p>
    <w:p>
      <w:pPr>
        <w:spacing w:line="500" w:lineRule="exact"/>
        <w:ind w:firstLine="552" w:firstLineChars="200"/>
        <w:rPr>
          <w:sz w:val="28"/>
          <w:szCs w:val="28"/>
        </w:rPr>
      </w:pPr>
      <w:r>
        <w:rPr>
          <w:sz w:val="28"/>
          <w:szCs w:val="28"/>
        </w:rPr>
        <w:t>1.2018年9月10日，习近平总书记在全国教育大会上的讲话</w:t>
      </w:r>
    </w:p>
    <w:p>
      <w:pPr>
        <w:spacing w:line="500" w:lineRule="exact"/>
        <w:ind w:firstLine="552" w:firstLineChars="200"/>
        <w:rPr>
          <w:sz w:val="28"/>
          <w:szCs w:val="28"/>
        </w:rPr>
      </w:pPr>
      <w:r>
        <w:rPr>
          <w:sz w:val="28"/>
          <w:szCs w:val="28"/>
        </w:rPr>
        <w:t>2.中共中央 国务院印发《中国教育现代化2035》（2019年2月23日）</w:t>
      </w:r>
    </w:p>
    <w:p>
      <w:pPr>
        <w:spacing w:line="500" w:lineRule="exact"/>
        <w:ind w:firstLine="552" w:firstLineChars="200"/>
        <w:rPr>
          <w:sz w:val="28"/>
          <w:szCs w:val="28"/>
        </w:rPr>
      </w:pPr>
      <w:r>
        <w:rPr>
          <w:sz w:val="28"/>
          <w:szCs w:val="28"/>
        </w:rPr>
        <w:t>3.《中共中央 国务院关于深化教育教学改革全面提高义务教育质量的意见》（2019年6月23日）</w:t>
      </w:r>
    </w:p>
    <w:p>
      <w:pPr>
        <w:spacing w:line="500" w:lineRule="exact"/>
        <w:ind w:firstLine="552" w:firstLineChars="200"/>
        <w:rPr>
          <w:sz w:val="28"/>
          <w:szCs w:val="28"/>
        </w:rPr>
      </w:pPr>
      <w:r>
        <w:rPr>
          <w:sz w:val="28"/>
          <w:szCs w:val="28"/>
        </w:rPr>
        <w:t>4.《中共中央 国务院关于全面加强新时代大中小学劳动教育的意见》（2020年3月20日）</w:t>
      </w:r>
    </w:p>
    <w:p>
      <w:pPr>
        <w:spacing w:line="500" w:lineRule="exact"/>
        <w:ind w:firstLine="552" w:firstLineChars="200"/>
        <w:rPr>
          <w:sz w:val="28"/>
          <w:szCs w:val="28"/>
        </w:rPr>
      </w:pPr>
      <w:r>
        <w:rPr>
          <w:sz w:val="28"/>
          <w:szCs w:val="28"/>
        </w:rPr>
        <w:t>5.《中共中央 国务院关于抓好“三农”领域重点工作确保如期实现全面小康的意见》（2020年1月2日）</w:t>
      </w:r>
    </w:p>
    <w:p>
      <w:pPr>
        <w:spacing w:line="500" w:lineRule="exact"/>
        <w:ind w:firstLine="552" w:firstLineChars="200"/>
        <w:rPr>
          <w:sz w:val="28"/>
          <w:szCs w:val="28"/>
        </w:rPr>
      </w:pPr>
      <w:r>
        <w:rPr>
          <w:sz w:val="28"/>
          <w:szCs w:val="28"/>
        </w:rPr>
        <w:t>6.中共中央 国务院印发《深化新时代教育评价改革总体方案》（2020年10月13日）</w:t>
      </w:r>
    </w:p>
    <w:p>
      <w:pPr>
        <w:spacing w:line="500" w:lineRule="exact"/>
        <w:ind w:firstLine="552" w:firstLineChars="200"/>
        <w:rPr>
          <w:sz w:val="28"/>
          <w:szCs w:val="28"/>
        </w:rPr>
      </w:pPr>
      <w:r>
        <w:rPr>
          <w:sz w:val="28"/>
          <w:szCs w:val="28"/>
        </w:rPr>
        <w:t>7.《中共中央办公厅 国务院办公厅关于深化教育体制机制改革的意见》（中办发〔2017〕46号）</w:t>
      </w:r>
    </w:p>
    <w:p>
      <w:pPr>
        <w:spacing w:line="500" w:lineRule="exact"/>
        <w:ind w:firstLine="552" w:firstLineChars="200"/>
        <w:rPr>
          <w:sz w:val="28"/>
          <w:szCs w:val="28"/>
        </w:rPr>
      </w:pPr>
      <w:r>
        <w:rPr>
          <w:sz w:val="28"/>
          <w:szCs w:val="28"/>
        </w:rPr>
        <w:t>8.《中共中央办公厅 国务院办公厅关于深化新时代教育督导体制机制改革的意见》（厅字〔2020〕1号）</w:t>
      </w:r>
    </w:p>
    <w:p>
      <w:pPr>
        <w:spacing w:line="500" w:lineRule="exact"/>
        <w:ind w:firstLine="552" w:firstLineChars="200"/>
        <w:rPr>
          <w:sz w:val="28"/>
          <w:szCs w:val="28"/>
        </w:rPr>
      </w:pPr>
      <w:r>
        <w:rPr>
          <w:sz w:val="28"/>
          <w:szCs w:val="28"/>
        </w:rPr>
        <w:t>9.《中共中央办公厅、国务院办公厅关于进一步减轻义务教育阶段学生作业负担和校外培训负担的意见》（</w:t>
      </w:r>
      <w:r>
        <w:rPr>
          <w:bCs/>
          <w:sz w:val="28"/>
          <w:szCs w:val="28"/>
        </w:rPr>
        <w:t>中办发〔2021〕40号</w:t>
      </w:r>
      <w:r>
        <w:rPr>
          <w:sz w:val="28"/>
          <w:szCs w:val="28"/>
        </w:rPr>
        <w:t>）</w:t>
      </w:r>
    </w:p>
    <w:p>
      <w:pPr>
        <w:spacing w:line="500" w:lineRule="exact"/>
        <w:ind w:firstLine="552" w:firstLineChars="200"/>
        <w:rPr>
          <w:sz w:val="28"/>
          <w:szCs w:val="28"/>
        </w:rPr>
      </w:pPr>
      <w:r>
        <w:rPr>
          <w:sz w:val="28"/>
          <w:szCs w:val="28"/>
        </w:rPr>
        <w:t>10.《国务院关于印发国家职业教育改革实施方案的通知》（国发〔2019〕4号）</w:t>
      </w:r>
    </w:p>
    <w:p>
      <w:pPr>
        <w:spacing w:line="500" w:lineRule="exact"/>
        <w:ind w:firstLine="552" w:firstLineChars="200"/>
        <w:rPr>
          <w:sz w:val="28"/>
          <w:szCs w:val="28"/>
        </w:rPr>
      </w:pPr>
      <w:r>
        <w:rPr>
          <w:sz w:val="28"/>
          <w:szCs w:val="28"/>
        </w:rPr>
        <w:t>11.《国务院关于印发国家教育事业发展“十三五”规划的通知》（国发〔2017〕8号）</w:t>
      </w:r>
    </w:p>
    <w:p>
      <w:pPr>
        <w:spacing w:line="500" w:lineRule="exact"/>
        <w:ind w:firstLine="552" w:firstLineChars="200"/>
        <w:rPr>
          <w:sz w:val="28"/>
          <w:szCs w:val="28"/>
        </w:rPr>
      </w:pPr>
      <w:r>
        <w:rPr>
          <w:sz w:val="28"/>
          <w:szCs w:val="28"/>
        </w:rPr>
        <w:t>12.《国务院办公厅关于推进养老服务发展的意见》（国办发〔2019〕5号）</w:t>
      </w:r>
    </w:p>
    <w:p>
      <w:pPr>
        <w:spacing w:line="500" w:lineRule="exact"/>
        <w:ind w:firstLine="552" w:firstLineChars="200"/>
        <w:rPr>
          <w:sz w:val="28"/>
          <w:szCs w:val="28"/>
        </w:rPr>
      </w:pPr>
      <w:r>
        <w:rPr>
          <w:sz w:val="28"/>
          <w:szCs w:val="28"/>
        </w:rPr>
        <w:t>13.《中央组织部 教育部党组关于加强中小学校党的建设工作的意见》（中组发〔2016〕17号）</w:t>
      </w:r>
    </w:p>
    <w:p>
      <w:pPr>
        <w:spacing w:line="500" w:lineRule="exact"/>
        <w:ind w:firstLine="552" w:firstLineChars="200"/>
        <w:rPr>
          <w:sz w:val="28"/>
          <w:szCs w:val="28"/>
        </w:rPr>
      </w:pPr>
      <w:r>
        <w:rPr>
          <w:sz w:val="28"/>
          <w:szCs w:val="28"/>
        </w:rPr>
        <w:t>14.教育部《关于印发&lt;县域义务教育优质均衡发展督导评估办法&gt;的通知》（教督〔2017〕6号）</w:t>
      </w:r>
    </w:p>
    <w:p>
      <w:pPr>
        <w:spacing w:line="500" w:lineRule="exact"/>
        <w:ind w:firstLine="552" w:firstLineChars="200"/>
        <w:rPr>
          <w:sz w:val="28"/>
          <w:szCs w:val="28"/>
        </w:rPr>
      </w:pPr>
      <w:r>
        <w:rPr>
          <w:sz w:val="28"/>
          <w:szCs w:val="28"/>
        </w:rPr>
        <w:t>15.《教育部关于深化本科教育教学改革全面提高人才培养质量的意见》（教高〔2019〕6号）</w:t>
      </w:r>
    </w:p>
    <w:p>
      <w:pPr>
        <w:spacing w:line="500" w:lineRule="exact"/>
        <w:ind w:firstLine="552" w:firstLineChars="200"/>
        <w:rPr>
          <w:sz w:val="28"/>
          <w:szCs w:val="28"/>
        </w:rPr>
      </w:pPr>
      <w:r>
        <w:rPr>
          <w:sz w:val="28"/>
          <w:szCs w:val="28"/>
        </w:rPr>
        <w:t>16.《重庆市教育督导条例》（重庆市人民代表大会常务委员会公告〔2015〕第6号）</w:t>
      </w:r>
    </w:p>
    <w:p>
      <w:pPr>
        <w:spacing w:line="500" w:lineRule="exact"/>
        <w:ind w:firstLine="552" w:firstLineChars="200"/>
        <w:rPr>
          <w:sz w:val="28"/>
          <w:szCs w:val="28"/>
        </w:rPr>
      </w:pPr>
      <w:r>
        <w:rPr>
          <w:sz w:val="28"/>
          <w:szCs w:val="28"/>
        </w:rPr>
        <w:t>17.《中共重庆市委 重庆市人民政府关于全面深化新时代教师队伍建设改革的实施意见》（渝委发〔2018〕44号）</w:t>
      </w:r>
    </w:p>
    <w:p>
      <w:pPr>
        <w:spacing w:line="500" w:lineRule="exact"/>
        <w:ind w:firstLine="552" w:firstLineChars="200"/>
        <w:rPr>
          <w:sz w:val="28"/>
          <w:szCs w:val="28"/>
        </w:rPr>
      </w:pPr>
      <w:r>
        <w:rPr>
          <w:sz w:val="28"/>
          <w:szCs w:val="28"/>
        </w:rPr>
        <w:t>18.《中共重庆市委 重庆市人民政府关于印发&lt;重庆市深化新时代教育评价改革若干措施&gt;的通知》（渝委发〔2021〕4号）</w:t>
      </w:r>
    </w:p>
    <w:p>
      <w:pPr>
        <w:spacing w:line="500" w:lineRule="exact"/>
        <w:ind w:firstLine="552" w:firstLineChars="200"/>
        <w:rPr>
          <w:sz w:val="28"/>
          <w:szCs w:val="28"/>
        </w:rPr>
      </w:pPr>
      <w:r>
        <w:rPr>
          <w:sz w:val="28"/>
          <w:szCs w:val="28"/>
        </w:rPr>
        <w:t>19.《中共重庆市委办公厅重庆市人民政府办公厅关于深化教育机制体制改革的实施意见》（渝委办发〔2018〕46号）</w:t>
      </w:r>
    </w:p>
    <w:p>
      <w:pPr>
        <w:spacing w:line="500" w:lineRule="exact"/>
        <w:ind w:firstLine="552" w:firstLineChars="200"/>
        <w:rPr>
          <w:sz w:val="28"/>
          <w:szCs w:val="28"/>
        </w:rPr>
      </w:pPr>
      <w:r>
        <w:rPr>
          <w:sz w:val="28"/>
          <w:szCs w:val="28"/>
        </w:rPr>
        <w:t>20.《重庆市人民政府关于进一步促进民办教育健康发展的实施意见》（渝府发〔2018〕19号）</w:t>
      </w:r>
    </w:p>
    <w:p>
      <w:pPr>
        <w:spacing w:line="500" w:lineRule="exact"/>
        <w:ind w:firstLine="552" w:firstLineChars="200"/>
        <w:rPr>
          <w:sz w:val="28"/>
          <w:szCs w:val="28"/>
        </w:rPr>
      </w:pPr>
      <w:r>
        <w:rPr>
          <w:sz w:val="28"/>
          <w:szCs w:val="28"/>
        </w:rPr>
        <w:t>21.《重庆市人民政府关于印发重庆市深化职业教育改革实施方案的通知》（渝府发〔2019〕18号）</w:t>
      </w:r>
    </w:p>
    <w:p>
      <w:pPr>
        <w:spacing w:line="500" w:lineRule="exact"/>
        <w:ind w:firstLine="552" w:firstLineChars="200"/>
        <w:rPr>
          <w:sz w:val="28"/>
          <w:szCs w:val="28"/>
        </w:rPr>
      </w:pPr>
      <w:r>
        <w:rPr>
          <w:sz w:val="28"/>
          <w:szCs w:val="28"/>
        </w:rPr>
        <w:t>22.《重庆市政府办公厅关于做好县域义务教育优质均衡发展督导评估工作的通知》（渝府办发〔2018〕70号）</w:t>
      </w:r>
    </w:p>
    <w:p>
      <w:pPr>
        <w:spacing w:line="500" w:lineRule="exact"/>
        <w:ind w:firstLine="552" w:firstLineChars="200"/>
        <w:rPr>
          <w:sz w:val="28"/>
          <w:szCs w:val="28"/>
        </w:rPr>
      </w:pPr>
      <w:r>
        <w:rPr>
          <w:sz w:val="28"/>
          <w:szCs w:val="28"/>
        </w:rPr>
        <w:t>23.《重庆市人民政府关于印发重庆市深化普通高等学校考试招生综合改革实施方案的通知》（渝府发〔2019〕11号）</w:t>
      </w:r>
    </w:p>
    <w:p>
      <w:pPr>
        <w:spacing w:line="500" w:lineRule="exact"/>
        <w:ind w:firstLine="552" w:firstLineChars="200"/>
        <w:rPr>
          <w:sz w:val="28"/>
          <w:szCs w:val="28"/>
        </w:rPr>
      </w:pPr>
      <w:r>
        <w:rPr>
          <w:sz w:val="28"/>
          <w:szCs w:val="28"/>
        </w:rPr>
        <w:t>24.《重庆市人民政府办公厅关于贯彻落实乡村教师支持计划（2015—2020年）的通知》（渝府办发〔2015〕148号）</w:t>
      </w:r>
    </w:p>
    <w:p>
      <w:pPr>
        <w:spacing w:line="500" w:lineRule="exact"/>
        <w:ind w:firstLine="552" w:firstLineChars="200"/>
        <w:rPr>
          <w:sz w:val="28"/>
          <w:szCs w:val="28"/>
        </w:rPr>
      </w:pPr>
      <w:r>
        <w:rPr>
          <w:sz w:val="28"/>
          <w:szCs w:val="28"/>
        </w:rPr>
        <w:t>25.《中共重庆市委教育工委  重庆市教育委员会关于深入推进中小学依法治校工作的实施意见》（渝教工委〔2017〕36号）</w:t>
      </w:r>
    </w:p>
    <w:p>
      <w:pPr>
        <w:spacing w:line="500" w:lineRule="exact"/>
        <w:ind w:firstLine="552" w:firstLineChars="200"/>
        <w:rPr>
          <w:sz w:val="28"/>
          <w:szCs w:val="28"/>
        </w:rPr>
      </w:pPr>
      <w:r>
        <w:rPr>
          <w:sz w:val="28"/>
          <w:szCs w:val="28"/>
        </w:rPr>
        <w:t>26.《重庆市教育事业发展“十三五”规划》（2017年5月5日）</w:t>
      </w:r>
    </w:p>
    <w:p>
      <w:pPr>
        <w:spacing w:line="500" w:lineRule="exact"/>
        <w:ind w:firstLine="552" w:firstLineChars="200"/>
        <w:rPr>
          <w:sz w:val="28"/>
          <w:szCs w:val="28"/>
        </w:rPr>
      </w:pPr>
      <w:r>
        <w:rPr>
          <w:rFonts w:hint="eastAsia"/>
          <w:sz w:val="28"/>
          <w:szCs w:val="28"/>
        </w:rPr>
        <w:t>27.《</w:t>
      </w:r>
      <w:r>
        <w:rPr>
          <w:sz w:val="28"/>
          <w:szCs w:val="28"/>
        </w:rPr>
        <w:t>重庆市教育事业发展“</w:t>
      </w:r>
      <w:r>
        <w:rPr>
          <w:rFonts w:hint="eastAsia"/>
          <w:sz w:val="28"/>
          <w:szCs w:val="28"/>
        </w:rPr>
        <w:t>十四</w:t>
      </w:r>
      <w:r>
        <w:rPr>
          <w:sz w:val="28"/>
          <w:szCs w:val="28"/>
        </w:rPr>
        <w:t>五”规划</w:t>
      </w:r>
      <w:r>
        <w:rPr>
          <w:rFonts w:hint="eastAsia"/>
          <w:sz w:val="28"/>
          <w:szCs w:val="28"/>
        </w:rPr>
        <w:t>》</w:t>
      </w:r>
    </w:p>
    <w:p>
      <w:pPr>
        <w:spacing w:line="500" w:lineRule="exact"/>
        <w:ind w:firstLine="552" w:firstLineChars="200"/>
        <w:rPr>
          <w:sz w:val="28"/>
          <w:szCs w:val="28"/>
        </w:rPr>
      </w:pPr>
      <w:r>
        <w:rPr>
          <w:sz w:val="28"/>
          <w:szCs w:val="28"/>
        </w:rPr>
        <w:t>2</w:t>
      </w:r>
      <w:r>
        <w:rPr>
          <w:rFonts w:hint="eastAsia"/>
          <w:sz w:val="28"/>
          <w:szCs w:val="28"/>
        </w:rPr>
        <w:t>8</w:t>
      </w:r>
      <w:r>
        <w:rPr>
          <w:sz w:val="28"/>
          <w:szCs w:val="28"/>
        </w:rPr>
        <w:t>.《重庆市教育委员会等七部门关于印发重庆市第二期特殊教育提升计划实施方案（2017—2020年）的通知》（2018年4月17日）</w:t>
      </w:r>
    </w:p>
    <w:p>
      <w:pPr>
        <w:spacing w:line="500" w:lineRule="exact"/>
        <w:ind w:firstLine="552" w:firstLineChars="200"/>
        <w:rPr>
          <w:sz w:val="28"/>
          <w:szCs w:val="28"/>
        </w:rPr>
      </w:pPr>
      <w:r>
        <w:rPr>
          <w:sz w:val="28"/>
          <w:szCs w:val="28"/>
        </w:rPr>
        <w:t>2</w:t>
      </w:r>
      <w:r>
        <w:rPr>
          <w:rFonts w:hint="eastAsia"/>
          <w:sz w:val="28"/>
          <w:szCs w:val="28"/>
        </w:rPr>
        <w:t>9</w:t>
      </w:r>
      <w:r>
        <w:rPr>
          <w:sz w:val="28"/>
          <w:szCs w:val="28"/>
        </w:rPr>
        <w:t>.《重庆市关于规范义务教育学校招生入学工作的实施意见》（渝教发〔2020〕12号）</w:t>
      </w:r>
    </w:p>
    <w:p>
      <w:pPr>
        <w:spacing w:line="500" w:lineRule="exact"/>
        <w:ind w:firstLine="552" w:firstLineChars="200"/>
        <w:rPr>
          <w:sz w:val="28"/>
          <w:szCs w:val="28"/>
        </w:rPr>
      </w:pPr>
      <w:r>
        <w:rPr>
          <w:rFonts w:hint="eastAsia"/>
          <w:sz w:val="28"/>
          <w:szCs w:val="28"/>
        </w:rPr>
        <w:t>30</w:t>
      </w:r>
      <w:r>
        <w:rPr>
          <w:sz w:val="28"/>
          <w:szCs w:val="28"/>
        </w:rPr>
        <w:t>.《中共重庆市黔江区委办公室 重庆市黔江区人民政府办公室印发&lt;关于深化教育体制机制改革工作方案&gt;的通知》（黔江委办发〔2019〕45号）</w:t>
      </w:r>
    </w:p>
    <w:p>
      <w:pPr>
        <w:spacing w:line="500" w:lineRule="exact"/>
        <w:ind w:firstLine="552" w:firstLineChars="200"/>
        <w:rPr>
          <w:sz w:val="28"/>
          <w:szCs w:val="28"/>
        </w:rPr>
      </w:pPr>
      <w:r>
        <w:rPr>
          <w:sz w:val="28"/>
          <w:szCs w:val="28"/>
        </w:rPr>
        <w:t>3</w:t>
      </w:r>
      <w:r>
        <w:rPr>
          <w:rFonts w:hint="eastAsia"/>
          <w:sz w:val="28"/>
          <w:szCs w:val="28"/>
        </w:rPr>
        <w:t>1</w:t>
      </w:r>
      <w:r>
        <w:rPr>
          <w:sz w:val="28"/>
          <w:szCs w:val="28"/>
        </w:rPr>
        <w:t>.《中共重庆市黔江区委重庆市黔江区人民政府关于加快建成渝东南教育中心的意见》（黔江委发〔2019〕23号）</w:t>
      </w:r>
    </w:p>
    <w:p>
      <w:pPr>
        <w:spacing w:line="500" w:lineRule="exact"/>
        <w:ind w:firstLine="552" w:firstLineChars="200"/>
        <w:rPr>
          <w:sz w:val="28"/>
          <w:szCs w:val="28"/>
        </w:rPr>
      </w:pPr>
      <w:r>
        <w:rPr>
          <w:sz w:val="28"/>
          <w:szCs w:val="28"/>
        </w:rPr>
        <w:t>3</w:t>
      </w:r>
      <w:r>
        <w:rPr>
          <w:rFonts w:hint="eastAsia"/>
          <w:sz w:val="28"/>
          <w:szCs w:val="28"/>
        </w:rPr>
        <w:t>2</w:t>
      </w:r>
      <w:r>
        <w:rPr>
          <w:sz w:val="28"/>
          <w:szCs w:val="28"/>
        </w:rPr>
        <w:t>.《中共重庆市黔江区委重庆市黔江区人民政府关于全面深化新时代教师队伍建设改革的实施意见》（黔江委发〔2019〕22号）</w:t>
      </w:r>
    </w:p>
    <w:p>
      <w:pPr>
        <w:spacing w:line="500" w:lineRule="exact"/>
        <w:ind w:firstLine="552" w:firstLineChars="200"/>
        <w:rPr>
          <w:sz w:val="28"/>
          <w:szCs w:val="28"/>
        </w:rPr>
      </w:pPr>
      <w:r>
        <w:rPr>
          <w:sz w:val="28"/>
          <w:szCs w:val="28"/>
        </w:rPr>
        <w:t>3</w:t>
      </w:r>
      <w:r>
        <w:rPr>
          <w:rFonts w:hint="eastAsia"/>
          <w:sz w:val="28"/>
          <w:szCs w:val="28"/>
        </w:rPr>
        <w:t>3</w:t>
      </w:r>
      <w:r>
        <w:rPr>
          <w:sz w:val="28"/>
          <w:szCs w:val="28"/>
        </w:rPr>
        <w:t>.《重庆市黔江区人民政府关于印发重庆市黔江区国民经济和社会发展第十四个五年规划和二〇三五年远景目标纲要的通知》（黔江府发〔2021〕29号）</w:t>
      </w:r>
    </w:p>
    <w:p>
      <w:pPr>
        <w:spacing w:line="500" w:lineRule="exact"/>
        <w:ind w:firstLine="552" w:firstLineChars="200"/>
        <w:rPr>
          <w:sz w:val="28"/>
          <w:szCs w:val="28"/>
        </w:rPr>
      </w:pPr>
      <w:r>
        <w:rPr>
          <w:sz w:val="28"/>
          <w:szCs w:val="28"/>
        </w:rPr>
        <w:t>3</w:t>
      </w:r>
      <w:r>
        <w:rPr>
          <w:rFonts w:hint="eastAsia"/>
          <w:sz w:val="28"/>
          <w:szCs w:val="28"/>
        </w:rPr>
        <w:t>4</w:t>
      </w:r>
      <w:r>
        <w:rPr>
          <w:sz w:val="28"/>
          <w:szCs w:val="28"/>
        </w:rPr>
        <w:t>.《重庆市黔江区人民政府办公室关于印发黔江区义务教育基本均衡发展国家督导检查反馈问题整改工作方案的通知》（黔江府办发〔2020〕16号）</w:t>
      </w:r>
    </w:p>
    <w:p>
      <w:pPr>
        <w:spacing w:line="500" w:lineRule="exact"/>
        <w:ind w:firstLine="552" w:firstLineChars="200"/>
        <w:rPr>
          <w:sz w:val="28"/>
          <w:szCs w:val="28"/>
        </w:rPr>
      </w:pPr>
      <w:r>
        <w:rPr>
          <w:sz w:val="28"/>
          <w:szCs w:val="28"/>
        </w:rPr>
        <w:t>3</w:t>
      </w:r>
      <w:r>
        <w:rPr>
          <w:rFonts w:hint="eastAsia"/>
          <w:sz w:val="28"/>
          <w:szCs w:val="28"/>
        </w:rPr>
        <w:t>5</w:t>
      </w:r>
      <w:r>
        <w:rPr>
          <w:sz w:val="28"/>
          <w:szCs w:val="28"/>
        </w:rPr>
        <w:t>.《重庆市黔江区人民政府办公室关于进一步做好普通高考综合改革基础条件保障工作的通知》（黔江府办发〔2018〕110号）</w:t>
      </w:r>
    </w:p>
    <w:p>
      <w:pPr>
        <w:spacing w:line="500" w:lineRule="exact"/>
        <w:ind w:firstLine="552" w:firstLineChars="200"/>
        <w:rPr>
          <w:sz w:val="28"/>
          <w:szCs w:val="28"/>
        </w:rPr>
      </w:pPr>
      <w:r>
        <w:rPr>
          <w:sz w:val="28"/>
          <w:szCs w:val="28"/>
        </w:rPr>
        <w:t>3</w:t>
      </w:r>
      <w:r>
        <w:rPr>
          <w:rFonts w:hint="eastAsia"/>
          <w:sz w:val="28"/>
          <w:szCs w:val="28"/>
        </w:rPr>
        <w:t>6</w:t>
      </w:r>
      <w:r>
        <w:rPr>
          <w:sz w:val="28"/>
          <w:szCs w:val="28"/>
        </w:rPr>
        <w:t>.《重庆市黔江区人民政府关于印发黔江区第三期学前教育行动计划的通知》（黔江府发〔2018〕18号）</w:t>
      </w:r>
    </w:p>
    <w:p>
      <w:pPr>
        <w:spacing w:line="500" w:lineRule="exact"/>
        <w:ind w:firstLine="552" w:firstLineChars="200"/>
        <w:rPr>
          <w:sz w:val="28"/>
          <w:szCs w:val="28"/>
        </w:rPr>
        <w:sectPr>
          <w:footerReference r:id="rId4" w:type="default"/>
          <w:footerReference r:id="rId5" w:type="even"/>
          <w:pgSz w:w="11906" w:h="16838"/>
          <w:pgMar w:top="2098" w:right="1531" w:bottom="1985" w:left="1531" w:header="851" w:footer="907" w:gutter="0"/>
          <w:cols w:space="720" w:num="1"/>
          <w:docGrid w:type="linesAndChars" w:linePitch="579" w:charSpace="-849"/>
        </w:sectPr>
      </w:pPr>
      <w:r>
        <w:rPr>
          <w:sz w:val="28"/>
          <w:szCs w:val="28"/>
        </w:rPr>
        <w:t>3</w:t>
      </w:r>
      <w:r>
        <w:rPr>
          <w:rFonts w:hint="eastAsia"/>
          <w:sz w:val="28"/>
          <w:szCs w:val="28"/>
        </w:rPr>
        <w:t>7</w:t>
      </w:r>
      <w:r>
        <w:rPr>
          <w:sz w:val="28"/>
          <w:szCs w:val="28"/>
        </w:rPr>
        <w:t>.《成渝地区双城经济圈建设教育协同发展框架协议》</w:t>
      </w:r>
    </w:p>
    <w:p>
      <w:pPr>
        <w:keepNext/>
        <w:keepLines/>
        <w:widowControl/>
        <w:spacing w:line="540" w:lineRule="exact"/>
        <w:jc w:val="left"/>
        <w:textAlignment w:val="baseline"/>
        <w:outlineLvl w:val="0"/>
        <w:rPr>
          <w:rFonts w:eastAsia="方正黑体_GBK"/>
          <w:bCs/>
          <w:szCs w:val="32"/>
        </w:rPr>
      </w:pPr>
      <w:bookmarkStart w:id="124" w:name="_Toc5235"/>
      <w:bookmarkStart w:id="125" w:name="_Toc84686338"/>
      <w:bookmarkStart w:id="126" w:name="_Toc24401"/>
      <w:bookmarkStart w:id="127" w:name="_Toc19638"/>
      <w:r>
        <w:rPr>
          <w:rFonts w:eastAsia="方正黑体_GBK"/>
          <w:bCs/>
          <w:szCs w:val="32"/>
        </w:rPr>
        <w:t>附件2</w:t>
      </w:r>
      <w:bookmarkEnd w:id="124"/>
      <w:bookmarkEnd w:id="125"/>
      <w:bookmarkEnd w:id="126"/>
      <w:bookmarkStart w:id="128" w:name="_Toc5049"/>
      <w:bookmarkStart w:id="129" w:name="_Toc26437"/>
    </w:p>
    <w:p>
      <w:pPr>
        <w:keepNext/>
        <w:keepLines/>
        <w:widowControl/>
        <w:spacing w:line="540" w:lineRule="exact"/>
        <w:jc w:val="center"/>
        <w:textAlignment w:val="baseline"/>
        <w:outlineLvl w:val="0"/>
        <w:rPr>
          <w:rFonts w:eastAsia="方正小标宋_GBK"/>
          <w:bCs/>
          <w:sz w:val="36"/>
          <w:szCs w:val="36"/>
        </w:rPr>
      </w:pPr>
      <w:bookmarkStart w:id="130" w:name="_Toc82334239"/>
      <w:bookmarkStart w:id="131" w:name="_Toc84686339"/>
      <w:r>
        <w:rPr>
          <w:rFonts w:eastAsia="方正小标宋_GBK"/>
          <w:bCs/>
          <w:sz w:val="36"/>
          <w:szCs w:val="36"/>
        </w:rPr>
        <w:t>黔江区“十四五”规划编制策划储备项目表</w:t>
      </w:r>
      <w:bookmarkEnd w:id="127"/>
      <w:bookmarkEnd w:id="128"/>
      <w:bookmarkEnd w:id="129"/>
      <w:bookmarkEnd w:id="130"/>
      <w:bookmarkEnd w:id="131"/>
    </w:p>
    <w:tbl>
      <w:tblPr>
        <w:tblStyle w:val="1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51"/>
        <w:gridCol w:w="1984"/>
        <w:gridCol w:w="4536"/>
        <w:gridCol w:w="709"/>
        <w:gridCol w:w="709"/>
        <w:gridCol w:w="950"/>
        <w:gridCol w:w="1034"/>
        <w:gridCol w:w="851"/>
        <w:gridCol w:w="992"/>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blHeader/>
        </w:trPr>
        <w:tc>
          <w:tcPr>
            <w:tcW w:w="567" w:type="dxa"/>
            <w:noWrap w:val="0"/>
            <w:vAlign w:val="center"/>
          </w:tcPr>
          <w:p>
            <w:pPr>
              <w:widowControl/>
              <w:spacing w:line="260" w:lineRule="exact"/>
              <w:jc w:val="center"/>
              <w:rPr>
                <w:b/>
                <w:bCs/>
                <w:kern w:val="0"/>
                <w:sz w:val="21"/>
                <w:szCs w:val="21"/>
              </w:rPr>
            </w:pPr>
            <w:r>
              <w:rPr>
                <w:b/>
                <w:bCs/>
                <w:kern w:val="0"/>
                <w:sz w:val="21"/>
                <w:szCs w:val="21"/>
              </w:rPr>
              <w:t>序号</w:t>
            </w:r>
          </w:p>
        </w:tc>
        <w:tc>
          <w:tcPr>
            <w:tcW w:w="851" w:type="dxa"/>
            <w:noWrap w:val="0"/>
            <w:vAlign w:val="center"/>
          </w:tcPr>
          <w:p>
            <w:pPr>
              <w:widowControl/>
              <w:spacing w:line="260" w:lineRule="exact"/>
              <w:jc w:val="center"/>
              <w:rPr>
                <w:b/>
                <w:bCs/>
                <w:kern w:val="0"/>
                <w:sz w:val="21"/>
                <w:szCs w:val="21"/>
              </w:rPr>
            </w:pPr>
            <w:r>
              <w:rPr>
                <w:b/>
                <w:bCs/>
                <w:kern w:val="0"/>
                <w:sz w:val="21"/>
                <w:szCs w:val="21"/>
              </w:rPr>
              <w:t>类别</w:t>
            </w:r>
          </w:p>
        </w:tc>
        <w:tc>
          <w:tcPr>
            <w:tcW w:w="1984" w:type="dxa"/>
            <w:noWrap w:val="0"/>
            <w:vAlign w:val="center"/>
          </w:tcPr>
          <w:p>
            <w:pPr>
              <w:widowControl/>
              <w:spacing w:line="260" w:lineRule="exact"/>
              <w:jc w:val="center"/>
              <w:rPr>
                <w:b/>
                <w:bCs/>
                <w:kern w:val="0"/>
                <w:sz w:val="21"/>
                <w:szCs w:val="21"/>
              </w:rPr>
            </w:pPr>
            <w:r>
              <w:rPr>
                <w:b/>
                <w:bCs/>
                <w:kern w:val="0"/>
                <w:sz w:val="21"/>
                <w:szCs w:val="21"/>
              </w:rPr>
              <w:t>项目名称</w:t>
            </w:r>
          </w:p>
        </w:tc>
        <w:tc>
          <w:tcPr>
            <w:tcW w:w="4536" w:type="dxa"/>
            <w:noWrap w:val="0"/>
            <w:vAlign w:val="center"/>
          </w:tcPr>
          <w:p>
            <w:pPr>
              <w:widowControl/>
              <w:spacing w:line="260" w:lineRule="exact"/>
              <w:jc w:val="center"/>
              <w:rPr>
                <w:b/>
                <w:bCs/>
                <w:kern w:val="0"/>
                <w:sz w:val="21"/>
                <w:szCs w:val="21"/>
              </w:rPr>
            </w:pPr>
            <w:r>
              <w:rPr>
                <w:b/>
                <w:bCs/>
                <w:kern w:val="0"/>
                <w:sz w:val="21"/>
                <w:szCs w:val="21"/>
              </w:rPr>
              <w:t>主要建设内容</w:t>
            </w:r>
          </w:p>
        </w:tc>
        <w:tc>
          <w:tcPr>
            <w:tcW w:w="709" w:type="dxa"/>
            <w:noWrap w:val="0"/>
            <w:vAlign w:val="center"/>
          </w:tcPr>
          <w:p>
            <w:pPr>
              <w:widowControl/>
              <w:spacing w:line="260" w:lineRule="exact"/>
              <w:jc w:val="center"/>
              <w:rPr>
                <w:b/>
                <w:bCs/>
                <w:kern w:val="0"/>
                <w:sz w:val="21"/>
                <w:szCs w:val="21"/>
              </w:rPr>
            </w:pPr>
            <w:r>
              <w:rPr>
                <w:b/>
                <w:bCs/>
                <w:kern w:val="0"/>
                <w:sz w:val="21"/>
                <w:szCs w:val="21"/>
              </w:rPr>
              <w:t>建设周期</w:t>
            </w:r>
          </w:p>
        </w:tc>
        <w:tc>
          <w:tcPr>
            <w:tcW w:w="709" w:type="dxa"/>
            <w:noWrap w:val="0"/>
            <w:vAlign w:val="center"/>
          </w:tcPr>
          <w:p>
            <w:pPr>
              <w:widowControl/>
              <w:spacing w:line="260" w:lineRule="exact"/>
              <w:jc w:val="center"/>
              <w:rPr>
                <w:b/>
                <w:bCs/>
                <w:kern w:val="0"/>
                <w:sz w:val="21"/>
                <w:szCs w:val="21"/>
              </w:rPr>
            </w:pPr>
            <w:r>
              <w:rPr>
                <w:b/>
                <w:bCs/>
                <w:kern w:val="0"/>
                <w:sz w:val="21"/>
                <w:szCs w:val="21"/>
              </w:rPr>
              <w:t>投资</w:t>
            </w:r>
          </w:p>
          <w:p>
            <w:pPr>
              <w:widowControl/>
              <w:spacing w:line="260" w:lineRule="exact"/>
              <w:jc w:val="center"/>
              <w:rPr>
                <w:b/>
                <w:bCs/>
                <w:kern w:val="0"/>
                <w:sz w:val="21"/>
                <w:szCs w:val="21"/>
              </w:rPr>
            </w:pPr>
            <w:r>
              <w:rPr>
                <w:b/>
                <w:bCs/>
                <w:kern w:val="0"/>
                <w:sz w:val="21"/>
                <w:szCs w:val="21"/>
              </w:rPr>
              <w:t>性质</w:t>
            </w:r>
          </w:p>
        </w:tc>
        <w:tc>
          <w:tcPr>
            <w:tcW w:w="950" w:type="dxa"/>
            <w:noWrap w:val="0"/>
            <w:vAlign w:val="center"/>
          </w:tcPr>
          <w:p>
            <w:pPr>
              <w:widowControl/>
              <w:spacing w:line="260" w:lineRule="exact"/>
              <w:jc w:val="center"/>
              <w:rPr>
                <w:b/>
                <w:bCs/>
                <w:kern w:val="0"/>
                <w:sz w:val="21"/>
                <w:szCs w:val="21"/>
              </w:rPr>
            </w:pPr>
            <w:r>
              <w:rPr>
                <w:b/>
                <w:bCs/>
                <w:kern w:val="0"/>
                <w:sz w:val="21"/>
                <w:szCs w:val="21"/>
              </w:rPr>
              <w:t>总投资</w:t>
            </w:r>
          </w:p>
        </w:tc>
        <w:tc>
          <w:tcPr>
            <w:tcW w:w="1034" w:type="dxa"/>
            <w:noWrap w:val="0"/>
            <w:vAlign w:val="center"/>
          </w:tcPr>
          <w:p>
            <w:pPr>
              <w:widowControl/>
              <w:spacing w:line="260" w:lineRule="exact"/>
              <w:jc w:val="center"/>
              <w:rPr>
                <w:b/>
                <w:bCs/>
                <w:kern w:val="0"/>
                <w:sz w:val="21"/>
                <w:szCs w:val="21"/>
              </w:rPr>
            </w:pPr>
            <w:r>
              <w:rPr>
                <w:b/>
                <w:bCs/>
                <w:kern w:val="0"/>
                <w:sz w:val="21"/>
                <w:szCs w:val="21"/>
              </w:rPr>
              <w:t>其中</w:t>
            </w:r>
          </w:p>
          <w:p>
            <w:pPr>
              <w:widowControl/>
              <w:spacing w:line="260" w:lineRule="exact"/>
              <w:jc w:val="center"/>
              <w:rPr>
                <w:b/>
                <w:bCs/>
                <w:kern w:val="0"/>
                <w:sz w:val="21"/>
                <w:szCs w:val="21"/>
              </w:rPr>
            </w:pPr>
            <w:r>
              <w:rPr>
                <w:b/>
                <w:bCs/>
                <w:kern w:val="0"/>
                <w:sz w:val="21"/>
                <w:szCs w:val="21"/>
              </w:rPr>
              <w:t>国市</w:t>
            </w:r>
          </w:p>
          <w:p>
            <w:pPr>
              <w:widowControl/>
              <w:spacing w:line="260" w:lineRule="exact"/>
              <w:jc w:val="center"/>
              <w:rPr>
                <w:b/>
                <w:bCs/>
                <w:kern w:val="0"/>
                <w:sz w:val="21"/>
                <w:szCs w:val="21"/>
              </w:rPr>
            </w:pPr>
            <w:r>
              <w:rPr>
                <w:b/>
                <w:bCs/>
                <w:kern w:val="0"/>
                <w:sz w:val="21"/>
                <w:szCs w:val="21"/>
              </w:rPr>
              <w:t>补助</w:t>
            </w:r>
          </w:p>
        </w:tc>
        <w:tc>
          <w:tcPr>
            <w:tcW w:w="851" w:type="dxa"/>
            <w:noWrap w:val="0"/>
            <w:vAlign w:val="center"/>
          </w:tcPr>
          <w:p>
            <w:pPr>
              <w:widowControl/>
              <w:spacing w:line="260" w:lineRule="exact"/>
              <w:jc w:val="center"/>
              <w:rPr>
                <w:b/>
                <w:bCs/>
                <w:kern w:val="0"/>
                <w:sz w:val="21"/>
                <w:szCs w:val="21"/>
              </w:rPr>
            </w:pPr>
            <w:r>
              <w:rPr>
                <w:b/>
                <w:bCs/>
                <w:kern w:val="0"/>
                <w:sz w:val="21"/>
                <w:szCs w:val="21"/>
              </w:rPr>
              <w:t>区级财政</w:t>
            </w:r>
          </w:p>
        </w:tc>
        <w:tc>
          <w:tcPr>
            <w:tcW w:w="992" w:type="dxa"/>
            <w:noWrap w:val="0"/>
            <w:vAlign w:val="center"/>
          </w:tcPr>
          <w:p>
            <w:pPr>
              <w:widowControl/>
              <w:spacing w:line="260" w:lineRule="exact"/>
              <w:jc w:val="center"/>
              <w:rPr>
                <w:b/>
                <w:bCs/>
                <w:kern w:val="0"/>
                <w:sz w:val="21"/>
                <w:szCs w:val="21"/>
              </w:rPr>
            </w:pPr>
            <w:r>
              <w:rPr>
                <w:b/>
                <w:bCs/>
                <w:kern w:val="0"/>
                <w:sz w:val="21"/>
                <w:szCs w:val="21"/>
              </w:rPr>
              <w:t>业主</w:t>
            </w:r>
          </w:p>
          <w:p>
            <w:pPr>
              <w:widowControl/>
              <w:spacing w:line="260" w:lineRule="exact"/>
              <w:jc w:val="center"/>
              <w:rPr>
                <w:b/>
                <w:bCs/>
                <w:kern w:val="0"/>
                <w:sz w:val="21"/>
                <w:szCs w:val="21"/>
              </w:rPr>
            </w:pPr>
            <w:r>
              <w:rPr>
                <w:b/>
                <w:bCs/>
                <w:kern w:val="0"/>
                <w:sz w:val="21"/>
                <w:szCs w:val="21"/>
              </w:rPr>
              <w:t>自筹</w:t>
            </w:r>
          </w:p>
        </w:tc>
        <w:tc>
          <w:tcPr>
            <w:tcW w:w="1276" w:type="dxa"/>
            <w:noWrap w:val="0"/>
            <w:vAlign w:val="center"/>
          </w:tcPr>
          <w:p>
            <w:pPr>
              <w:widowControl/>
              <w:spacing w:line="260" w:lineRule="exact"/>
              <w:jc w:val="center"/>
              <w:rPr>
                <w:b/>
                <w:bCs/>
                <w:kern w:val="0"/>
                <w:sz w:val="21"/>
                <w:szCs w:val="21"/>
              </w:rPr>
            </w:pPr>
            <w:r>
              <w:rPr>
                <w:b/>
                <w:bCs/>
                <w:kern w:val="0"/>
                <w:sz w:val="21"/>
                <w:szCs w:val="21"/>
              </w:rPr>
              <w:t>国市补助</w:t>
            </w:r>
          </w:p>
          <w:p>
            <w:pPr>
              <w:widowControl/>
              <w:spacing w:line="260" w:lineRule="exact"/>
              <w:jc w:val="center"/>
              <w:rPr>
                <w:b/>
                <w:bCs/>
                <w:kern w:val="0"/>
                <w:sz w:val="21"/>
                <w:szCs w:val="21"/>
              </w:rPr>
            </w:pPr>
            <w:r>
              <w:rPr>
                <w:b/>
                <w:bCs/>
                <w:kern w:val="0"/>
                <w:sz w:val="21"/>
                <w:szCs w:val="21"/>
              </w:rPr>
              <w:t>专项名称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567" w:type="dxa"/>
            <w:noWrap w:val="0"/>
            <w:vAlign w:val="center"/>
          </w:tcPr>
          <w:p>
            <w:pPr>
              <w:widowControl/>
              <w:spacing w:line="260" w:lineRule="exact"/>
              <w:jc w:val="center"/>
              <w:rPr>
                <w:b/>
                <w:bCs/>
                <w:kern w:val="0"/>
                <w:sz w:val="21"/>
                <w:szCs w:val="21"/>
              </w:rPr>
            </w:pPr>
            <w:r>
              <w:rPr>
                <w:b/>
                <w:bCs/>
                <w:kern w:val="0"/>
                <w:sz w:val="21"/>
                <w:szCs w:val="21"/>
              </w:rPr>
              <w:t>合计</w:t>
            </w:r>
          </w:p>
        </w:tc>
        <w:tc>
          <w:tcPr>
            <w:tcW w:w="851" w:type="dxa"/>
            <w:noWrap w:val="0"/>
            <w:vAlign w:val="center"/>
          </w:tcPr>
          <w:p>
            <w:pPr>
              <w:widowControl/>
              <w:spacing w:line="260" w:lineRule="exact"/>
              <w:jc w:val="left"/>
              <w:rPr>
                <w:b/>
                <w:bCs/>
                <w:kern w:val="0"/>
                <w:sz w:val="21"/>
                <w:szCs w:val="21"/>
              </w:rPr>
            </w:pPr>
          </w:p>
        </w:tc>
        <w:tc>
          <w:tcPr>
            <w:tcW w:w="1984" w:type="dxa"/>
            <w:noWrap w:val="0"/>
            <w:vAlign w:val="center"/>
          </w:tcPr>
          <w:p>
            <w:pPr>
              <w:widowControl/>
              <w:spacing w:line="260" w:lineRule="exact"/>
              <w:jc w:val="left"/>
              <w:rPr>
                <w:b/>
                <w:bCs/>
                <w:kern w:val="0"/>
                <w:sz w:val="21"/>
                <w:szCs w:val="21"/>
              </w:rPr>
            </w:pPr>
          </w:p>
        </w:tc>
        <w:tc>
          <w:tcPr>
            <w:tcW w:w="4536" w:type="dxa"/>
            <w:noWrap w:val="0"/>
            <w:vAlign w:val="center"/>
          </w:tcPr>
          <w:p>
            <w:pPr>
              <w:widowControl/>
              <w:spacing w:line="260" w:lineRule="exact"/>
              <w:jc w:val="left"/>
              <w:rPr>
                <w:b/>
                <w:bCs/>
                <w:kern w:val="0"/>
                <w:sz w:val="21"/>
                <w:szCs w:val="21"/>
              </w:rPr>
            </w:pPr>
          </w:p>
        </w:tc>
        <w:tc>
          <w:tcPr>
            <w:tcW w:w="709" w:type="dxa"/>
            <w:noWrap w:val="0"/>
            <w:vAlign w:val="center"/>
          </w:tcPr>
          <w:p>
            <w:pPr>
              <w:widowControl/>
              <w:spacing w:line="260" w:lineRule="exact"/>
              <w:jc w:val="left"/>
              <w:rPr>
                <w:b/>
                <w:bCs/>
                <w:kern w:val="0"/>
                <w:sz w:val="21"/>
                <w:szCs w:val="21"/>
              </w:rPr>
            </w:pPr>
          </w:p>
        </w:tc>
        <w:tc>
          <w:tcPr>
            <w:tcW w:w="709" w:type="dxa"/>
            <w:noWrap w:val="0"/>
            <w:vAlign w:val="center"/>
          </w:tcPr>
          <w:p>
            <w:pPr>
              <w:widowControl/>
              <w:spacing w:line="260" w:lineRule="exact"/>
              <w:jc w:val="left"/>
              <w:rPr>
                <w:b/>
                <w:bCs/>
                <w:kern w:val="0"/>
                <w:sz w:val="21"/>
                <w:szCs w:val="21"/>
              </w:rPr>
            </w:pPr>
          </w:p>
        </w:tc>
        <w:tc>
          <w:tcPr>
            <w:tcW w:w="950" w:type="dxa"/>
            <w:noWrap w:val="0"/>
            <w:vAlign w:val="center"/>
          </w:tcPr>
          <w:p>
            <w:pPr>
              <w:widowControl/>
              <w:spacing w:line="260" w:lineRule="exact"/>
              <w:jc w:val="center"/>
              <w:rPr>
                <w:kern w:val="0"/>
                <w:sz w:val="21"/>
                <w:szCs w:val="21"/>
              </w:rPr>
            </w:pPr>
            <w:r>
              <w:rPr>
                <w:rFonts w:hint="eastAsia"/>
                <w:kern w:val="0"/>
                <w:sz w:val="21"/>
                <w:szCs w:val="21"/>
              </w:rPr>
              <w:t>574</w:t>
            </w:r>
            <w:r>
              <w:rPr>
                <w:kern w:val="0"/>
                <w:sz w:val="21"/>
                <w:szCs w:val="21"/>
              </w:rPr>
              <w:t>,</w:t>
            </w:r>
            <w:r>
              <w:rPr>
                <w:rFonts w:hint="eastAsia"/>
                <w:kern w:val="0"/>
                <w:sz w:val="21"/>
                <w:szCs w:val="21"/>
              </w:rPr>
              <w:t>918</w:t>
            </w:r>
          </w:p>
        </w:tc>
        <w:tc>
          <w:tcPr>
            <w:tcW w:w="1034" w:type="dxa"/>
            <w:noWrap w:val="0"/>
            <w:vAlign w:val="center"/>
          </w:tcPr>
          <w:p>
            <w:pPr>
              <w:widowControl/>
              <w:spacing w:line="260" w:lineRule="exact"/>
              <w:jc w:val="center"/>
              <w:rPr>
                <w:kern w:val="0"/>
                <w:sz w:val="21"/>
                <w:szCs w:val="21"/>
              </w:rPr>
            </w:pPr>
            <w:r>
              <w:rPr>
                <w:rFonts w:hint="eastAsia"/>
                <w:kern w:val="0"/>
                <w:sz w:val="21"/>
                <w:szCs w:val="21"/>
              </w:rPr>
              <w:t>234</w:t>
            </w:r>
            <w:r>
              <w:rPr>
                <w:kern w:val="0"/>
                <w:sz w:val="21"/>
                <w:szCs w:val="21"/>
              </w:rPr>
              <w:t>,</w:t>
            </w:r>
            <w:r>
              <w:rPr>
                <w:rFonts w:hint="eastAsia"/>
                <w:kern w:val="0"/>
                <w:sz w:val="21"/>
                <w:szCs w:val="21"/>
              </w:rPr>
              <w:t>458</w:t>
            </w:r>
          </w:p>
        </w:tc>
        <w:tc>
          <w:tcPr>
            <w:tcW w:w="851" w:type="dxa"/>
            <w:noWrap w:val="0"/>
            <w:vAlign w:val="center"/>
          </w:tcPr>
          <w:p>
            <w:pPr>
              <w:widowControl/>
              <w:spacing w:line="260" w:lineRule="exact"/>
              <w:jc w:val="center"/>
              <w:rPr>
                <w:kern w:val="0"/>
                <w:sz w:val="21"/>
                <w:szCs w:val="21"/>
              </w:rPr>
            </w:pPr>
            <w:r>
              <w:rPr>
                <w:kern w:val="0"/>
                <w:sz w:val="21"/>
                <w:szCs w:val="21"/>
              </w:rPr>
              <w:t>61,460</w:t>
            </w:r>
          </w:p>
        </w:tc>
        <w:tc>
          <w:tcPr>
            <w:tcW w:w="992" w:type="dxa"/>
            <w:noWrap w:val="0"/>
            <w:vAlign w:val="center"/>
          </w:tcPr>
          <w:p>
            <w:pPr>
              <w:widowControl/>
              <w:spacing w:line="260" w:lineRule="exact"/>
              <w:jc w:val="center"/>
              <w:rPr>
                <w:kern w:val="0"/>
                <w:sz w:val="21"/>
                <w:szCs w:val="21"/>
              </w:rPr>
            </w:pPr>
            <w:r>
              <w:rPr>
                <w:kern w:val="0"/>
                <w:sz w:val="21"/>
                <w:szCs w:val="21"/>
              </w:rPr>
              <w:t>2</w:t>
            </w:r>
            <w:r>
              <w:rPr>
                <w:rFonts w:hint="eastAsia"/>
                <w:kern w:val="0"/>
                <w:sz w:val="21"/>
                <w:szCs w:val="21"/>
              </w:rPr>
              <w:t>50</w:t>
            </w:r>
            <w:r>
              <w:rPr>
                <w:kern w:val="0"/>
                <w:sz w:val="21"/>
                <w:szCs w:val="21"/>
              </w:rPr>
              <w:t>,000</w:t>
            </w:r>
          </w:p>
        </w:tc>
        <w:tc>
          <w:tcPr>
            <w:tcW w:w="1276" w:type="dxa"/>
            <w:noWrap w:val="0"/>
            <w:vAlign w:val="center"/>
          </w:tcPr>
          <w:p>
            <w:pPr>
              <w:widowControl/>
              <w:spacing w:line="260" w:lineRule="exact"/>
              <w:jc w:val="left"/>
              <w:rPr>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w:t>
            </w:r>
          </w:p>
        </w:tc>
        <w:tc>
          <w:tcPr>
            <w:tcW w:w="85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公办幼儿园建设工程</w:t>
            </w: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黔江区城南中心幼儿园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新征地10亩，新建校舍5400㎡，配套建设停车场、运动场等相关附属设施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3,200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2,600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600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黔江区冯家中心幼儿园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利用万涛小学迁建后老校区，新建校舍5400㎡，配套建设停车场、运动场等相关附属设施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2,400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600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黔江区濯水中心幼儿园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新征地6亩，新建校舍3600㎡，配套建设停车场、运动场等相关附属设施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2,600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4</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黔江区檀香山幼儿园（暂定名）</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接收、装修校舍2700㎡，配套建设运动场等相关附属设施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1,400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5</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黔江区万丽天生湖幼儿园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回购、装修校舍3600㎡，配套建设运动场等相关附属设施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1,860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1,860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6</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黔江区大通豪庭幼儿园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回购、装修校舍2700㎡，配套建设运动场等相关附属设施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1,400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7</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黔江区中央公园幼儿园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回购、装修校舍2700㎡，配套建设运动场等相关附属设施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1,400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8</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黔江区云樾府幼儿园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接收、装修校舍3600㎡，配套建设运动场等相关附属设施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1,860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1,860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9</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黔江区三磊小区幼儿园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接收、装修校舍3600㎡，配套建设运动场等相关附属设施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1,860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1,860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10</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黔江区恒大幼儿园</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接收、装修校舍5400㎡，配套建设运动场等相关附属设施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11</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黔江区**小区配套幼儿园一</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接收、装修校舍5400㎡，配套建设运动场等相关附属设施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2024-2025</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黔江区**小区配套幼儿园二</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接收、装修校舍5400㎡，配套建设运动场等相关附属设施</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2024-2025</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67" w:type="dxa"/>
            <w:noWrap w:val="0"/>
            <w:vAlign w:val="center"/>
          </w:tcPr>
          <w:p>
            <w:pPr>
              <w:widowControl/>
              <w:spacing w:line="260" w:lineRule="exact"/>
              <w:jc w:val="center"/>
              <w:rPr>
                <w:kern w:val="0"/>
                <w:sz w:val="21"/>
                <w:szCs w:val="21"/>
              </w:rPr>
            </w:pPr>
            <w:r>
              <w:rPr>
                <w:kern w:val="0"/>
                <w:sz w:val="21"/>
                <w:szCs w:val="21"/>
              </w:rPr>
              <w:t>13</w:t>
            </w:r>
          </w:p>
        </w:tc>
        <w:tc>
          <w:tcPr>
            <w:tcW w:w="851" w:type="dxa"/>
            <w:vMerge w:val="restart"/>
            <w:noWrap w:val="0"/>
            <w:vAlign w:val="center"/>
          </w:tcPr>
          <w:p>
            <w:pPr>
              <w:widowControl/>
              <w:spacing w:line="260" w:lineRule="exact"/>
              <w:jc w:val="left"/>
              <w:rPr>
                <w:kern w:val="0"/>
                <w:sz w:val="21"/>
                <w:szCs w:val="21"/>
              </w:rPr>
            </w:pPr>
            <w:r>
              <w:rPr>
                <w:kern w:val="0"/>
                <w:sz w:val="21"/>
                <w:szCs w:val="21"/>
              </w:rPr>
              <w:t>义务教育学校布局调整及扩容改造工程</w:t>
            </w: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黔江区武陵中小学建设</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小学35.5亩，初中49.5亩，新建校舍4万余㎡，其中小学1.44万㎡，初中2.6万㎡，配套建设运动场及校园环境建设等</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2020-2021</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18,500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18,500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widowControl/>
              <w:spacing w:line="260" w:lineRule="exact"/>
              <w:jc w:val="left"/>
              <w:rPr>
                <w:kern w:val="0"/>
                <w:sz w:val="21"/>
                <w:szCs w:val="21"/>
              </w:rPr>
            </w:pPr>
            <w:r>
              <w:rPr>
                <w:kern w:val="0"/>
                <w:sz w:val="21"/>
                <w:szCs w:val="21"/>
              </w:rPr>
              <w:t>恒绍公司代建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567" w:type="dxa"/>
            <w:noWrap w:val="0"/>
            <w:vAlign w:val="center"/>
          </w:tcPr>
          <w:p>
            <w:pPr>
              <w:widowControl/>
              <w:spacing w:line="260" w:lineRule="exact"/>
              <w:jc w:val="center"/>
              <w:rPr>
                <w:kern w:val="0"/>
                <w:sz w:val="21"/>
                <w:szCs w:val="21"/>
              </w:rPr>
            </w:pPr>
            <w:r>
              <w:rPr>
                <w:kern w:val="0"/>
                <w:sz w:val="21"/>
                <w:szCs w:val="21"/>
              </w:rPr>
              <w:t>14</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黔江区武陵初级中学学生宿舍工程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新建学生宿舍4000㎡，配套建设相关附属工程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1,600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1,280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320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567" w:type="dxa"/>
            <w:noWrap w:val="0"/>
            <w:vAlign w:val="center"/>
          </w:tcPr>
          <w:p>
            <w:pPr>
              <w:widowControl/>
              <w:spacing w:line="260" w:lineRule="exact"/>
              <w:jc w:val="center"/>
              <w:rPr>
                <w:kern w:val="0"/>
                <w:sz w:val="21"/>
                <w:szCs w:val="21"/>
              </w:rPr>
            </w:pPr>
            <w:r>
              <w:rPr>
                <w:kern w:val="0"/>
                <w:sz w:val="21"/>
                <w:szCs w:val="21"/>
              </w:rPr>
              <w:t>15</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黔江区舟白小学校科普楼工程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新建科普楼5480.52平方米及配套相关附属工程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2020-2022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1,500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1,500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widowControl/>
              <w:spacing w:line="260" w:lineRule="exact"/>
              <w:jc w:val="left"/>
              <w:rPr>
                <w:kern w:val="0"/>
                <w:sz w:val="21"/>
                <w:szCs w:val="21"/>
              </w:rPr>
            </w:pPr>
            <w:r>
              <w:rPr>
                <w:kern w:val="0"/>
                <w:sz w:val="21"/>
                <w:szCs w:val="21"/>
              </w:rPr>
              <w:t>中央预算内投资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67" w:type="dxa"/>
            <w:noWrap w:val="0"/>
            <w:vAlign w:val="center"/>
          </w:tcPr>
          <w:p>
            <w:pPr>
              <w:widowControl/>
              <w:spacing w:line="260" w:lineRule="exact"/>
              <w:jc w:val="center"/>
              <w:rPr>
                <w:kern w:val="0"/>
                <w:sz w:val="21"/>
                <w:szCs w:val="21"/>
              </w:rPr>
            </w:pPr>
            <w:r>
              <w:rPr>
                <w:kern w:val="0"/>
                <w:sz w:val="21"/>
                <w:szCs w:val="21"/>
              </w:rPr>
              <w:t>16</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黔江区城南中心小学迁建工程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新征地37亩，新建校舍26000㎡，配套建设运动场及校园环境等</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9,200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restart"/>
            <w:noWrap w:val="0"/>
            <w:vAlign w:val="center"/>
          </w:tcPr>
          <w:p>
            <w:pPr>
              <w:widowControl/>
              <w:spacing w:line="260" w:lineRule="exact"/>
              <w:jc w:val="left"/>
              <w:rPr>
                <w:kern w:val="0"/>
                <w:sz w:val="21"/>
                <w:szCs w:val="21"/>
              </w:rPr>
            </w:pPr>
            <w:r>
              <w:rPr>
                <w:kern w:val="0"/>
                <w:sz w:val="21"/>
                <w:szCs w:val="21"/>
              </w:rPr>
              <w:t>中央预算内投资（教育现代化推进专项），义务教育学校建设专项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567" w:type="dxa"/>
            <w:noWrap w:val="0"/>
            <w:vAlign w:val="center"/>
          </w:tcPr>
          <w:p>
            <w:pPr>
              <w:widowControl/>
              <w:spacing w:line="260" w:lineRule="exact"/>
              <w:jc w:val="center"/>
              <w:rPr>
                <w:kern w:val="0"/>
                <w:sz w:val="21"/>
                <w:szCs w:val="21"/>
              </w:rPr>
            </w:pPr>
            <w:r>
              <w:rPr>
                <w:kern w:val="0"/>
                <w:sz w:val="21"/>
                <w:szCs w:val="21"/>
              </w:rPr>
              <w:t>17</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黔江初级中学食堂及运动场工程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新建食堂4000㎡及200米环形跑道运动场</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1,600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1,000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600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textAlignment w:val="baseline"/>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7" w:type="dxa"/>
            <w:noWrap w:val="0"/>
            <w:vAlign w:val="center"/>
          </w:tcPr>
          <w:p>
            <w:pPr>
              <w:widowControl/>
              <w:spacing w:line="260" w:lineRule="exact"/>
              <w:jc w:val="center"/>
              <w:rPr>
                <w:kern w:val="0"/>
                <w:sz w:val="21"/>
                <w:szCs w:val="21"/>
              </w:rPr>
            </w:pPr>
            <w:r>
              <w:rPr>
                <w:kern w:val="0"/>
                <w:sz w:val="21"/>
                <w:szCs w:val="21"/>
              </w:rPr>
              <w:t>18</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黔江区舟白初级中学运动场工程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新建400米环形跑道运动场配套建设相关附属工程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2,100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900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textAlignment w:val="baseline"/>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67" w:type="dxa"/>
            <w:noWrap w:val="0"/>
            <w:vAlign w:val="center"/>
          </w:tcPr>
          <w:p>
            <w:pPr>
              <w:widowControl/>
              <w:spacing w:line="260" w:lineRule="exact"/>
              <w:jc w:val="center"/>
              <w:rPr>
                <w:kern w:val="0"/>
                <w:sz w:val="21"/>
                <w:szCs w:val="21"/>
              </w:rPr>
            </w:pPr>
            <w:r>
              <w:rPr>
                <w:kern w:val="0"/>
                <w:sz w:val="21"/>
                <w:szCs w:val="21"/>
              </w:rPr>
              <w:t>19</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黔江区万涛小学迁建工程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新征地40亩，新建校舍16000㎡，配套建设运动场及校园环境等</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8,000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6,200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textAlignment w:val="baseline"/>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567" w:type="dxa"/>
            <w:noWrap w:val="0"/>
            <w:vAlign w:val="center"/>
          </w:tcPr>
          <w:p>
            <w:pPr>
              <w:widowControl/>
              <w:spacing w:line="260" w:lineRule="exact"/>
              <w:jc w:val="center"/>
              <w:rPr>
                <w:kern w:val="0"/>
                <w:sz w:val="21"/>
                <w:szCs w:val="21"/>
              </w:rPr>
            </w:pPr>
            <w:r>
              <w:rPr>
                <w:kern w:val="0"/>
                <w:sz w:val="21"/>
                <w:szCs w:val="21"/>
              </w:rPr>
              <w:t>20</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黔江区西村小学校建设工程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征地50亩，新建校舍19000㎡，配套建设运动场及校园环境等</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2021-2023</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8,200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67" w:type="dxa"/>
            <w:noWrap w:val="0"/>
            <w:vAlign w:val="center"/>
          </w:tcPr>
          <w:p>
            <w:pPr>
              <w:widowControl/>
              <w:spacing w:line="260" w:lineRule="exact"/>
              <w:jc w:val="center"/>
              <w:rPr>
                <w:kern w:val="0"/>
                <w:sz w:val="21"/>
                <w:szCs w:val="21"/>
              </w:rPr>
            </w:pPr>
            <w:r>
              <w:rPr>
                <w:kern w:val="0"/>
                <w:sz w:val="21"/>
                <w:szCs w:val="21"/>
              </w:rPr>
              <w:t>21</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黔江区积富小学校建设工程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新征地50亩，新建校舍19000㎡，配套建设运动场及校园环境等</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2023-2025</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8,200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7" w:type="dxa"/>
            <w:noWrap w:val="0"/>
            <w:vAlign w:val="center"/>
          </w:tcPr>
          <w:p>
            <w:pPr>
              <w:widowControl/>
              <w:spacing w:line="260" w:lineRule="exact"/>
              <w:jc w:val="center"/>
              <w:rPr>
                <w:kern w:val="0"/>
                <w:sz w:val="21"/>
                <w:szCs w:val="21"/>
              </w:rPr>
            </w:pPr>
            <w:r>
              <w:rPr>
                <w:kern w:val="0"/>
                <w:sz w:val="21"/>
                <w:szCs w:val="21"/>
              </w:rPr>
              <w:t>22</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黔江区特殊教育学校迁建工程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新征地50亩，新建校舍8000㎡，配套建设运动场及校园环境等</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2022-2024</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7,800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4,000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noWrap w:val="0"/>
            <w:vAlign w:val="center"/>
          </w:tcPr>
          <w:p>
            <w:pPr>
              <w:widowControl/>
              <w:spacing w:line="260" w:lineRule="exact"/>
              <w:jc w:val="left"/>
              <w:rPr>
                <w:kern w:val="0"/>
                <w:sz w:val="21"/>
                <w:szCs w:val="21"/>
              </w:rPr>
            </w:pPr>
            <w:r>
              <w:rPr>
                <w:kern w:val="0"/>
                <w:sz w:val="21"/>
                <w:szCs w:val="21"/>
              </w:rPr>
              <w:t>特殊教育专项资金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567" w:type="dxa"/>
            <w:noWrap w:val="0"/>
            <w:vAlign w:val="center"/>
          </w:tcPr>
          <w:p>
            <w:pPr>
              <w:widowControl/>
              <w:spacing w:line="260" w:lineRule="exact"/>
              <w:jc w:val="center"/>
              <w:rPr>
                <w:kern w:val="0"/>
                <w:sz w:val="21"/>
                <w:szCs w:val="21"/>
              </w:rPr>
            </w:pPr>
            <w:r>
              <w:rPr>
                <w:kern w:val="0"/>
                <w:sz w:val="21"/>
                <w:szCs w:val="21"/>
              </w:rPr>
              <w:t>23</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黔江区新华初级中学运动场工程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新建200米环形跑道运动场、地下停车库及配套建设相关附属工程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1,600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1,000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600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restart"/>
            <w:noWrap w:val="0"/>
            <w:vAlign w:val="center"/>
          </w:tcPr>
          <w:p>
            <w:pPr>
              <w:widowControl/>
              <w:spacing w:line="260" w:lineRule="exact"/>
              <w:jc w:val="left"/>
              <w:rPr>
                <w:kern w:val="0"/>
                <w:sz w:val="21"/>
                <w:szCs w:val="21"/>
              </w:rPr>
            </w:pPr>
            <w:r>
              <w:rPr>
                <w:kern w:val="0"/>
                <w:sz w:val="21"/>
                <w:szCs w:val="21"/>
              </w:rPr>
              <w:t>中央预算内投资（教育现代化推进专项），义务教育学校建设专项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567" w:type="dxa"/>
            <w:noWrap w:val="0"/>
            <w:vAlign w:val="center"/>
          </w:tcPr>
          <w:p>
            <w:pPr>
              <w:widowControl/>
              <w:spacing w:line="260" w:lineRule="exact"/>
              <w:jc w:val="center"/>
              <w:rPr>
                <w:kern w:val="0"/>
                <w:sz w:val="21"/>
                <w:szCs w:val="21"/>
              </w:rPr>
            </w:pPr>
            <w:r>
              <w:rPr>
                <w:kern w:val="0"/>
                <w:sz w:val="21"/>
                <w:szCs w:val="21"/>
              </w:rPr>
              <w:t>24</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黔江区青杠小学运动场工程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新建200米环形跑道运动场、地下停车库及配套建设相关附属工程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2022-2024</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1,600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67" w:type="dxa"/>
            <w:noWrap w:val="0"/>
            <w:vAlign w:val="center"/>
          </w:tcPr>
          <w:p>
            <w:pPr>
              <w:widowControl/>
              <w:spacing w:line="260" w:lineRule="exact"/>
              <w:jc w:val="center"/>
              <w:rPr>
                <w:kern w:val="0"/>
                <w:sz w:val="21"/>
                <w:szCs w:val="21"/>
              </w:rPr>
            </w:pPr>
            <w:r>
              <w:rPr>
                <w:kern w:val="0"/>
                <w:sz w:val="21"/>
                <w:szCs w:val="21"/>
              </w:rPr>
              <w:t>25</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黔江区舟白初级中学综合楼工程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新建综合楼5600㎡（负一层地下停车库1600㎡），及配套附属工程。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2,400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2,000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textAlignment w:val="baseline"/>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67" w:type="dxa"/>
            <w:noWrap w:val="0"/>
            <w:vAlign w:val="center"/>
          </w:tcPr>
          <w:p>
            <w:pPr>
              <w:widowControl/>
              <w:spacing w:line="260" w:lineRule="exact"/>
              <w:jc w:val="center"/>
              <w:rPr>
                <w:kern w:val="0"/>
                <w:sz w:val="21"/>
                <w:szCs w:val="21"/>
              </w:rPr>
            </w:pPr>
            <w:r>
              <w:rPr>
                <w:kern w:val="0"/>
                <w:sz w:val="21"/>
                <w:szCs w:val="21"/>
              </w:rPr>
              <w:t>26</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黔江区实验中学学生食堂工程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新建学生食堂4000㎡及配套附属工程</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2023-2024</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1,600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400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textAlignment w:val="baseline"/>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67" w:type="dxa"/>
            <w:noWrap w:val="0"/>
            <w:vAlign w:val="center"/>
          </w:tcPr>
          <w:p>
            <w:pPr>
              <w:widowControl/>
              <w:spacing w:line="260" w:lineRule="exact"/>
              <w:jc w:val="center"/>
              <w:rPr>
                <w:kern w:val="0"/>
                <w:sz w:val="21"/>
                <w:szCs w:val="21"/>
              </w:rPr>
            </w:pPr>
            <w:r>
              <w:rPr>
                <w:kern w:val="0"/>
                <w:sz w:val="21"/>
                <w:szCs w:val="21"/>
              </w:rPr>
              <w:t>27</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黔江区册山小学改扩建工程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新征地10亩，新建校舍6000㎡及校园环境建设</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2021-2022</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3,000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2,200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800</w:t>
            </w: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276" w:type="dxa"/>
            <w:vMerge w:val="continue"/>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567" w:type="dxa"/>
            <w:noWrap w:val="0"/>
            <w:vAlign w:val="center"/>
          </w:tcPr>
          <w:p>
            <w:pPr>
              <w:widowControl/>
              <w:spacing w:line="260" w:lineRule="exact"/>
              <w:jc w:val="center"/>
              <w:rPr>
                <w:kern w:val="0"/>
                <w:sz w:val="21"/>
                <w:szCs w:val="21"/>
              </w:rPr>
            </w:pPr>
            <w:r>
              <w:rPr>
                <w:kern w:val="0"/>
                <w:sz w:val="21"/>
                <w:szCs w:val="21"/>
              </w:rPr>
              <w:t>28</w:t>
            </w:r>
          </w:p>
        </w:tc>
        <w:tc>
          <w:tcPr>
            <w:tcW w:w="851" w:type="dxa"/>
            <w:vMerge w:val="restart"/>
            <w:noWrap w:val="0"/>
            <w:vAlign w:val="center"/>
          </w:tcPr>
          <w:p>
            <w:pPr>
              <w:widowControl/>
              <w:spacing w:line="260" w:lineRule="exact"/>
              <w:jc w:val="left"/>
              <w:rPr>
                <w:kern w:val="0"/>
                <w:sz w:val="21"/>
                <w:szCs w:val="21"/>
              </w:rPr>
            </w:pPr>
            <w:r>
              <w:rPr>
                <w:kern w:val="0"/>
                <w:sz w:val="21"/>
                <w:szCs w:val="21"/>
              </w:rPr>
              <w:t>普通高中基础办学条件改善工程</w:t>
            </w:r>
          </w:p>
        </w:tc>
        <w:tc>
          <w:tcPr>
            <w:tcW w:w="1984" w:type="dxa"/>
            <w:noWrap w:val="0"/>
            <w:vAlign w:val="center"/>
          </w:tcPr>
          <w:p>
            <w:pPr>
              <w:widowControl/>
              <w:spacing w:line="260" w:lineRule="exact"/>
              <w:jc w:val="left"/>
              <w:rPr>
                <w:kern w:val="0"/>
                <w:sz w:val="21"/>
                <w:szCs w:val="21"/>
              </w:rPr>
            </w:pPr>
            <w:r>
              <w:rPr>
                <w:kern w:val="0"/>
                <w:sz w:val="21"/>
                <w:szCs w:val="21"/>
              </w:rPr>
              <w:t>黔江中学校教学综合楼工程</w:t>
            </w:r>
          </w:p>
        </w:tc>
        <w:tc>
          <w:tcPr>
            <w:tcW w:w="4536" w:type="dxa"/>
            <w:noWrap w:val="0"/>
            <w:vAlign w:val="center"/>
          </w:tcPr>
          <w:p>
            <w:pPr>
              <w:widowControl/>
              <w:spacing w:line="260" w:lineRule="exact"/>
              <w:jc w:val="left"/>
              <w:rPr>
                <w:kern w:val="0"/>
                <w:sz w:val="21"/>
                <w:szCs w:val="21"/>
              </w:rPr>
            </w:pPr>
            <w:r>
              <w:rPr>
                <w:kern w:val="0"/>
                <w:sz w:val="21"/>
                <w:szCs w:val="21"/>
              </w:rPr>
              <w:t>完成主体施工,拆除原预制结构实验楼3240平方米，新建教学综合楼9280平方米及配套工程</w:t>
            </w:r>
          </w:p>
        </w:tc>
        <w:tc>
          <w:tcPr>
            <w:tcW w:w="709" w:type="dxa"/>
            <w:noWrap w:val="0"/>
            <w:vAlign w:val="center"/>
          </w:tcPr>
          <w:p>
            <w:pPr>
              <w:widowControl/>
              <w:spacing w:line="260" w:lineRule="exact"/>
              <w:jc w:val="left"/>
              <w:rPr>
                <w:kern w:val="0"/>
                <w:sz w:val="21"/>
                <w:szCs w:val="21"/>
              </w:rPr>
            </w:pPr>
            <w:r>
              <w:rPr>
                <w:kern w:val="0"/>
                <w:sz w:val="21"/>
                <w:szCs w:val="21"/>
              </w:rPr>
              <w:t>2020-2021</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r>
              <w:rPr>
                <w:kern w:val="0"/>
                <w:sz w:val="21"/>
                <w:szCs w:val="21"/>
              </w:rPr>
              <w:t>3,065</w:t>
            </w:r>
          </w:p>
        </w:tc>
        <w:tc>
          <w:tcPr>
            <w:tcW w:w="1034" w:type="dxa"/>
            <w:noWrap w:val="0"/>
            <w:vAlign w:val="center"/>
          </w:tcPr>
          <w:p>
            <w:pPr>
              <w:widowControl/>
              <w:spacing w:line="260" w:lineRule="exact"/>
              <w:jc w:val="center"/>
              <w:rPr>
                <w:kern w:val="0"/>
                <w:sz w:val="21"/>
                <w:szCs w:val="21"/>
              </w:rPr>
            </w:pPr>
            <w:r>
              <w:rPr>
                <w:kern w:val="0"/>
                <w:sz w:val="21"/>
                <w:szCs w:val="21"/>
              </w:rPr>
              <w:t>3,065</w:t>
            </w:r>
          </w:p>
        </w:tc>
        <w:tc>
          <w:tcPr>
            <w:tcW w:w="851" w:type="dxa"/>
            <w:noWrap w:val="0"/>
            <w:vAlign w:val="center"/>
          </w:tcPr>
          <w:p>
            <w:pPr>
              <w:widowControl/>
              <w:spacing w:line="260" w:lineRule="exact"/>
              <w:jc w:val="center"/>
              <w:rPr>
                <w:kern w:val="0"/>
                <w:sz w:val="21"/>
                <w:szCs w:val="21"/>
              </w:rPr>
            </w:pPr>
          </w:p>
        </w:tc>
        <w:tc>
          <w:tcPr>
            <w:tcW w:w="992" w:type="dxa"/>
            <w:noWrap w:val="0"/>
            <w:vAlign w:val="center"/>
          </w:tcPr>
          <w:p>
            <w:pPr>
              <w:widowControl/>
              <w:spacing w:line="260" w:lineRule="exact"/>
              <w:jc w:val="center"/>
              <w:rPr>
                <w:kern w:val="0"/>
                <w:sz w:val="21"/>
                <w:szCs w:val="21"/>
              </w:rPr>
            </w:pPr>
          </w:p>
        </w:tc>
        <w:tc>
          <w:tcPr>
            <w:tcW w:w="1276" w:type="dxa"/>
            <w:noWrap w:val="0"/>
            <w:vAlign w:val="center"/>
          </w:tcPr>
          <w:p>
            <w:pPr>
              <w:widowControl/>
              <w:spacing w:line="260" w:lineRule="exact"/>
              <w:jc w:val="left"/>
              <w:rPr>
                <w:kern w:val="0"/>
                <w:sz w:val="21"/>
                <w:szCs w:val="21"/>
              </w:rPr>
            </w:pPr>
            <w:r>
              <w:rPr>
                <w:kern w:val="0"/>
                <w:sz w:val="21"/>
                <w:szCs w:val="21"/>
              </w:rPr>
              <w:t>中央预算内投资、地方政府专项债券资金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567" w:type="dxa"/>
            <w:noWrap w:val="0"/>
            <w:vAlign w:val="center"/>
          </w:tcPr>
          <w:p>
            <w:pPr>
              <w:widowControl/>
              <w:spacing w:line="260" w:lineRule="exact"/>
              <w:jc w:val="center"/>
              <w:rPr>
                <w:kern w:val="0"/>
                <w:sz w:val="21"/>
                <w:szCs w:val="21"/>
              </w:rPr>
            </w:pPr>
            <w:r>
              <w:rPr>
                <w:kern w:val="0"/>
                <w:sz w:val="21"/>
                <w:szCs w:val="21"/>
              </w:rPr>
              <w:t>29</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widowControl/>
              <w:spacing w:line="260" w:lineRule="exact"/>
              <w:jc w:val="left"/>
              <w:rPr>
                <w:kern w:val="0"/>
                <w:sz w:val="21"/>
                <w:szCs w:val="21"/>
              </w:rPr>
            </w:pPr>
            <w:r>
              <w:rPr>
                <w:kern w:val="0"/>
                <w:sz w:val="21"/>
                <w:szCs w:val="21"/>
              </w:rPr>
              <w:t>黔江区新华中学教学综合楼工程</w:t>
            </w:r>
          </w:p>
        </w:tc>
        <w:tc>
          <w:tcPr>
            <w:tcW w:w="4536" w:type="dxa"/>
            <w:noWrap w:val="0"/>
            <w:vAlign w:val="center"/>
          </w:tcPr>
          <w:p>
            <w:pPr>
              <w:widowControl/>
              <w:spacing w:line="260" w:lineRule="exact"/>
              <w:jc w:val="left"/>
              <w:rPr>
                <w:kern w:val="0"/>
                <w:sz w:val="21"/>
                <w:szCs w:val="21"/>
              </w:rPr>
            </w:pPr>
            <w:r>
              <w:rPr>
                <w:kern w:val="0"/>
                <w:sz w:val="21"/>
                <w:szCs w:val="21"/>
              </w:rPr>
              <w:t>新建综合楼15000㎡及配套相关附属工程</w:t>
            </w:r>
          </w:p>
        </w:tc>
        <w:tc>
          <w:tcPr>
            <w:tcW w:w="709" w:type="dxa"/>
            <w:noWrap w:val="0"/>
            <w:vAlign w:val="center"/>
          </w:tcPr>
          <w:p>
            <w:pPr>
              <w:widowControl/>
              <w:spacing w:line="260" w:lineRule="exact"/>
              <w:jc w:val="left"/>
              <w:rPr>
                <w:kern w:val="0"/>
                <w:sz w:val="21"/>
                <w:szCs w:val="21"/>
              </w:rPr>
            </w:pPr>
            <w:r>
              <w:rPr>
                <w:kern w:val="0"/>
                <w:sz w:val="21"/>
                <w:szCs w:val="21"/>
              </w:rPr>
              <w:t>2021-2022</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r>
              <w:rPr>
                <w:kern w:val="0"/>
                <w:sz w:val="21"/>
                <w:szCs w:val="21"/>
              </w:rPr>
              <w:t>4,873</w:t>
            </w:r>
          </w:p>
        </w:tc>
        <w:tc>
          <w:tcPr>
            <w:tcW w:w="1034" w:type="dxa"/>
            <w:noWrap w:val="0"/>
            <w:vAlign w:val="center"/>
          </w:tcPr>
          <w:p>
            <w:pPr>
              <w:widowControl/>
              <w:spacing w:line="260" w:lineRule="exact"/>
              <w:jc w:val="center"/>
              <w:rPr>
                <w:kern w:val="0"/>
                <w:sz w:val="21"/>
                <w:szCs w:val="21"/>
              </w:rPr>
            </w:pPr>
            <w:r>
              <w:rPr>
                <w:kern w:val="0"/>
                <w:sz w:val="21"/>
                <w:szCs w:val="21"/>
              </w:rPr>
              <w:t>4,873</w:t>
            </w:r>
          </w:p>
        </w:tc>
        <w:tc>
          <w:tcPr>
            <w:tcW w:w="851" w:type="dxa"/>
            <w:noWrap w:val="0"/>
            <w:vAlign w:val="center"/>
          </w:tcPr>
          <w:p>
            <w:pPr>
              <w:widowControl/>
              <w:spacing w:line="260" w:lineRule="exact"/>
              <w:jc w:val="center"/>
              <w:rPr>
                <w:kern w:val="0"/>
                <w:sz w:val="21"/>
                <w:szCs w:val="21"/>
              </w:rPr>
            </w:pPr>
          </w:p>
        </w:tc>
        <w:tc>
          <w:tcPr>
            <w:tcW w:w="992" w:type="dxa"/>
            <w:noWrap w:val="0"/>
            <w:vAlign w:val="center"/>
          </w:tcPr>
          <w:p>
            <w:pPr>
              <w:widowControl/>
              <w:spacing w:line="260" w:lineRule="exact"/>
              <w:jc w:val="center"/>
              <w:rPr>
                <w:kern w:val="0"/>
                <w:sz w:val="21"/>
                <w:szCs w:val="21"/>
              </w:rPr>
            </w:pPr>
          </w:p>
        </w:tc>
        <w:tc>
          <w:tcPr>
            <w:tcW w:w="1276" w:type="dxa"/>
            <w:vMerge w:val="restart"/>
            <w:noWrap w:val="0"/>
            <w:vAlign w:val="center"/>
          </w:tcPr>
          <w:p>
            <w:pPr>
              <w:widowControl/>
              <w:spacing w:line="260" w:lineRule="exact"/>
              <w:jc w:val="left"/>
              <w:rPr>
                <w:kern w:val="0"/>
                <w:sz w:val="21"/>
                <w:szCs w:val="21"/>
              </w:rPr>
            </w:pPr>
            <w:r>
              <w:rPr>
                <w:kern w:val="0"/>
                <w:sz w:val="21"/>
                <w:szCs w:val="21"/>
              </w:rPr>
              <w:t>中央预算内投资（教育现代化推进专项），高中办学条件改善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567" w:type="dxa"/>
            <w:noWrap w:val="0"/>
            <w:vAlign w:val="center"/>
          </w:tcPr>
          <w:p>
            <w:pPr>
              <w:widowControl/>
              <w:spacing w:line="260" w:lineRule="exact"/>
              <w:jc w:val="center"/>
              <w:rPr>
                <w:kern w:val="0"/>
                <w:sz w:val="21"/>
                <w:szCs w:val="21"/>
              </w:rPr>
            </w:pPr>
            <w:r>
              <w:rPr>
                <w:kern w:val="0"/>
                <w:sz w:val="21"/>
                <w:szCs w:val="21"/>
              </w:rPr>
              <w:t>30</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widowControl/>
              <w:spacing w:line="260" w:lineRule="exact"/>
              <w:jc w:val="left"/>
              <w:rPr>
                <w:kern w:val="0"/>
                <w:sz w:val="21"/>
                <w:szCs w:val="21"/>
              </w:rPr>
            </w:pPr>
            <w:r>
              <w:rPr>
                <w:kern w:val="0"/>
                <w:sz w:val="21"/>
                <w:szCs w:val="21"/>
              </w:rPr>
              <w:t>黔江区新华中学学生宿舍工程</w:t>
            </w:r>
          </w:p>
        </w:tc>
        <w:tc>
          <w:tcPr>
            <w:tcW w:w="4536" w:type="dxa"/>
            <w:noWrap w:val="0"/>
            <w:vAlign w:val="center"/>
          </w:tcPr>
          <w:p>
            <w:pPr>
              <w:widowControl/>
              <w:spacing w:line="260" w:lineRule="exact"/>
              <w:jc w:val="left"/>
              <w:rPr>
                <w:kern w:val="0"/>
                <w:sz w:val="21"/>
                <w:szCs w:val="21"/>
              </w:rPr>
            </w:pPr>
            <w:r>
              <w:rPr>
                <w:kern w:val="0"/>
                <w:sz w:val="21"/>
                <w:szCs w:val="21"/>
              </w:rPr>
              <w:t>新建学生宿舍6000㎡及配套相关附属工程</w:t>
            </w:r>
          </w:p>
        </w:tc>
        <w:tc>
          <w:tcPr>
            <w:tcW w:w="709" w:type="dxa"/>
            <w:noWrap w:val="0"/>
            <w:vAlign w:val="center"/>
          </w:tcPr>
          <w:p>
            <w:pPr>
              <w:widowControl/>
              <w:spacing w:line="260" w:lineRule="exact"/>
              <w:jc w:val="left"/>
              <w:rPr>
                <w:kern w:val="0"/>
                <w:sz w:val="21"/>
                <w:szCs w:val="21"/>
              </w:rPr>
            </w:pPr>
            <w:r>
              <w:rPr>
                <w:kern w:val="0"/>
                <w:sz w:val="21"/>
                <w:szCs w:val="21"/>
              </w:rPr>
              <w:t>2021-2022</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r>
              <w:rPr>
                <w:kern w:val="0"/>
                <w:sz w:val="21"/>
                <w:szCs w:val="21"/>
              </w:rPr>
              <w:t>2,400</w:t>
            </w:r>
          </w:p>
        </w:tc>
        <w:tc>
          <w:tcPr>
            <w:tcW w:w="1034" w:type="dxa"/>
            <w:noWrap w:val="0"/>
            <w:vAlign w:val="center"/>
          </w:tcPr>
          <w:p>
            <w:pPr>
              <w:widowControl/>
              <w:spacing w:line="260" w:lineRule="exact"/>
              <w:jc w:val="center"/>
              <w:rPr>
                <w:kern w:val="0"/>
                <w:sz w:val="21"/>
                <w:szCs w:val="21"/>
              </w:rPr>
            </w:pPr>
            <w:r>
              <w:rPr>
                <w:kern w:val="0"/>
                <w:sz w:val="21"/>
                <w:szCs w:val="21"/>
              </w:rPr>
              <w:t>1,920</w:t>
            </w:r>
          </w:p>
        </w:tc>
        <w:tc>
          <w:tcPr>
            <w:tcW w:w="851" w:type="dxa"/>
            <w:noWrap w:val="0"/>
            <w:vAlign w:val="center"/>
          </w:tcPr>
          <w:p>
            <w:pPr>
              <w:widowControl/>
              <w:spacing w:line="260" w:lineRule="exact"/>
              <w:jc w:val="center"/>
              <w:rPr>
                <w:kern w:val="0"/>
                <w:sz w:val="21"/>
                <w:szCs w:val="21"/>
              </w:rPr>
            </w:pPr>
            <w:r>
              <w:rPr>
                <w:kern w:val="0"/>
                <w:sz w:val="21"/>
                <w:szCs w:val="21"/>
              </w:rPr>
              <w:t>480</w:t>
            </w:r>
          </w:p>
        </w:tc>
        <w:tc>
          <w:tcPr>
            <w:tcW w:w="992" w:type="dxa"/>
            <w:noWrap w:val="0"/>
            <w:vAlign w:val="center"/>
          </w:tcPr>
          <w:p>
            <w:pPr>
              <w:widowControl/>
              <w:spacing w:line="260" w:lineRule="exact"/>
              <w:jc w:val="center"/>
              <w:rPr>
                <w:kern w:val="0"/>
                <w:sz w:val="21"/>
                <w:szCs w:val="21"/>
              </w:rPr>
            </w:pPr>
          </w:p>
        </w:tc>
        <w:tc>
          <w:tcPr>
            <w:tcW w:w="1276" w:type="dxa"/>
            <w:vMerge w:val="continue"/>
            <w:noWrap w:val="0"/>
            <w:vAlign w:val="center"/>
          </w:tcPr>
          <w:p>
            <w:pPr>
              <w:widowControl/>
              <w:spacing w:line="260" w:lineRule="exact"/>
              <w:jc w:val="left"/>
              <w:textAlignment w:val="baseline"/>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567" w:type="dxa"/>
            <w:noWrap w:val="0"/>
            <w:vAlign w:val="center"/>
          </w:tcPr>
          <w:p>
            <w:pPr>
              <w:widowControl/>
              <w:spacing w:line="260" w:lineRule="exact"/>
              <w:jc w:val="center"/>
              <w:rPr>
                <w:kern w:val="0"/>
                <w:sz w:val="21"/>
                <w:szCs w:val="21"/>
              </w:rPr>
            </w:pPr>
            <w:r>
              <w:rPr>
                <w:kern w:val="0"/>
                <w:sz w:val="21"/>
                <w:szCs w:val="21"/>
              </w:rPr>
              <w:t>31</w:t>
            </w:r>
          </w:p>
        </w:tc>
        <w:tc>
          <w:tcPr>
            <w:tcW w:w="851" w:type="dxa"/>
            <w:vMerge w:val="continue"/>
            <w:noWrap w:val="0"/>
            <w:vAlign w:val="center"/>
          </w:tcPr>
          <w:p>
            <w:pPr>
              <w:widowControl/>
              <w:spacing w:line="260" w:lineRule="exact"/>
              <w:jc w:val="left"/>
              <w:rPr>
                <w:kern w:val="0"/>
                <w:sz w:val="21"/>
                <w:szCs w:val="21"/>
              </w:rPr>
            </w:pPr>
          </w:p>
        </w:tc>
        <w:tc>
          <w:tcPr>
            <w:tcW w:w="1984" w:type="dxa"/>
            <w:noWrap w:val="0"/>
            <w:vAlign w:val="center"/>
          </w:tcPr>
          <w:p>
            <w:pPr>
              <w:widowControl/>
              <w:spacing w:line="260" w:lineRule="exact"/>
              <w:jc w:val="left"/>
              <w:rPr>
                <w:kern w:val="0"/>
                <w:sz w:val="21"/>
                <w:szCs w:val="21"/>
              </w:rPr>
            </w:pPr>
            <w:r>
              <w:rPr>
                <w:kern w:val="0"/>
                <w:sz w:val="21"/>
                <w:szCs w:val="21"/>
              </w:rPr>
              <w:t>黔江区民族中学体育馆建设工程</w:t>
            </w:r>
          </w:p>
        </w:tc>
        <w:tc>
          <w:tcPr>
            <w:tcW w:w="4536" w:type="dxa"/>
            <w:noWrap w:val="0"/>
            <w:vAlign w:val="center"/>
          </w:tcPr>
          <w:p>
            <w:pPr>
              <w:widowControl/>
              <w:spacing w:line="260" w:lineRule="exact"/>
              <w:jc w:val="left"/>
              <w:rPr>
                <w:kern w:val="0"/>
                <w:sz w:val="21"/>
                <w:szCs w:val="21"/>
              </w:rPr>
            </w:pPr>
            <w:r>
              <w:rPr>
                <w:kern w:val="0"/>
                <w:sz w:val="21"/>
                <w:szCs w:val="21"/>
              </w:rPr>
              <w:t>新建体育馆8520㎡，配套建设相关附属设施</w:t>
            </w:r>
          </w:p>
        </w:tc>
        <w:tc>
          <w:tcPr>
            <w:tcW w:w="709" w:type="dxa"/>
            <w:noWrap w:val="0"/>
            <w:vAlign w:val="center"/>
          </w:tcPr>
          <w:p>
            <w:pPr>
              <w:widowControl/>
              <w:spacing w:line="260" w:lineRule="exact"/>
              <w:jc w:val="left"/>
              <w:rPr>
                <w:kern w:val="0"/>
                <w:sz w:val="21"/>
                <w:szCs w:val="21"/>
              </w:rPr>
            </w:pPr>
            <w:r>
              <w:rPr>
                <w:kern w:val="0"/>
                <w:sz w:val="21"/>
                <w:szCs w:val="21"/>
              </w:rPr>
              <w:t>2021-2025</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r>
              <w:rPr>
                <w:kern w:val="0"/>
                <w:sz w:val="21"/>
                <w:szCs w:val="21"/>
              </w:rPr>
              <w:t>2,500</w:t>
            </w:r>
          </w:p>
        </w:tc>
        <w:tc>
          <w:tcPr>
            <w:tcW w:w="1034" w:type="dxa"/>
            <w:noWrap w:val="0"/>
            <w:vAlign w:val="center"/>
          </w:tcPr>
          <w:p>
            <w:pPr>
              <w:widowControl/>
              <w:spacing w:line="260" w:lineRule="exact"/>
              <w:jc w:val="center"/>
              <w:rPr>
                <w:kern w:val="0"/>
                <w:sz w:val="21"/>
                <w:szCs w:val="21"/>
              </w:rPr>
            </w:pPr>
            <w:r>
              <w:rPr>
                <w:kern w:val="0"/>
                <w:sz w:val="21"/>
                <w:szCs w:val="21"/>
              </w:rPr>
              <w:t>2,500</w:t>
            </w:r>
          </w:p>
        </w:tc>
        <w:tc>
          <w:tcPr>
            <w:tcW w:w="851" w:type="dxa"/>
            <w:noWrap w:val="0"/>
            <w:vAlign w:val="center"/>
          </w:tcPr>
          <w:p>
            <w:pPr>
              <w:widowControl/>
              <w:spacing w:line="260" w:lineRule="exact"/>
              <w:jc w:val="center"/>
              <w:rPr>
                <w:kern w:val="0"/>
                <w:sz w:val="21"/>
                <w:szCs w:val="21"/>
              </w:rPr>
            </w:pPr>
          </w:p>
        </w:tc>
        <w:tc>
          <w:tcPr>
            <w:tcW w:w="992" w:type="dxa"/>
            <w:noWrap w:val="0"/>
            <w:vAlign w:val="center"/>
          </w:tcPr>
          <w:p>
            <w:pPr>
              <w:widowControl/>
              <w:spacing w:line="260" w:lineRule="exact"/>
              <w:jc w:val="center"/>
              <w:rPr>
                <w:kern w:val="0"/>
                <w:sz w:val="21"/>
                <w:szCs w:val="21"/>
              </w:rPr>
            </w:pPr>
          </w:p>
        </w:tc>
        <w:tc>
          <w:tcPr>
            <w:tcW w:w="1276" w:type="dxa"/>
            <w:vMerge w:val="continue"/>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67" w:type="dxa"/>
            <w:noWrap w:val="0"/>
            <w:vAlign w:val="center"/>
          </w:tcPr>
          <w:p>
            <w:pPr>
              <w:widowControl/>
              <w:spacing w:line="260" w:lineRule="exact"/>
              <w:jc w:val="center"/>
              <w:rPr>
                <w:kern w:val="0"/>
                <w:sz w:val="21"/>
                <w:szCs w:val="21"/>
              </w:rPr>
            </w:pPr>
            <w:r>
              <w:rPr>
                <w:kern w:val="0"/>
                <w:sz w:val="21"/>
                <w:szCs w:val="21"/>
              </w:rPr>
              <w:t>32</w:t>
            </w:r>
          </w:p>
        </w:tc>
        <w:tc>
          <w:tcPr>
            <w:tcW w:w="851" w:type="dxa"/>
            <w:noWrap w:val="0"/>
            <w:vAlign w:val="center"/>
          </w:tcPr>
          <w:p>
            <w:pPr>
              <w:widowControl/>
              <w:spacing w:line="260" w:lineRule="exact"/>
              <w:jc w:val="left"/>
              <w:rPr>
                <w:kern w:val="0"/>
                <w:sz w:val="21"/>
                <w:szCs w:val="21"/>
              </w:rPr>
            </w:pPr>
            <w:r>
              <w:rPr>
                <w:kern w:val="0"/>
                <w:sz w:val="21"/>
                <w:szCs w:val="21"/>
              </w:rPr>
              <w:t>建设一所普通高中</w:t>
            </w:r>
          </w:p>
        </w:tc>
        <w:tc>
          <w:tcPr>
            <w:tcW w:w="1984" w:type="dxa"/>
            <w:noWrap w:val="0"/>
            <w:vAlign w:val="center"/>
          </w:tcPr>
          <w:p>
            <w:pPr>
              <w:widowControl/>
              <w:spacing w:line="260" w:lineRule="exact"/>
              <w:jc w:val="left"/>
              <w:rPr>
                <w:kern w:val="0"/>
                <w:sz w:val="21"/>
                <w:szCs w:val="21"/>
              </w:rPr>
            </w:pPr>
            <w:r>
              <w:rPr>
                <w:kern w:val="0"/>
                <w:sz w:val="21"/>
                <w:szCs w:val="21"/>
              </w:rPr>
              <w:t>建设一所普通高中</w:t>
            </w:r>
          </w:p>
        </w:tc>
        <w:tc>
          <w:tcPr>
            <w:tcW w:w="4536" w:type="dxa"/>
            <w:noWrap w:val="0"/>
            <w:vAlign w:val="center"/>
          </w:tcPr>
          <w:p>
            <w:pPr>
              <w:widowControl/>
              <w:spacing w:line="260" w:lineRule="exact"/>
              <w:jc w:val="left"/>
              <w:rPr>
                <w:kern w:val="0"/>
                <w:sz w:val="21"/>
                <w:szCs w:val="21"/>
              </w:rPr>
            </w:pPr>
            <w:r>
              <w:rPr>
                <w:kern w:val="0"/>
                <w:sz w:val="21"/>
                <w:szCs w:val="21"/>
              </w:rPr>
              <w:t>根据生源情况，调整现有初级中学办学性质，建设一所普通高中</w:t>
            </w:r>
          </w:p>
        </w:tc>
        <w:tc>
          <w:tcPr>
            <w:tcW w:w="709" w:type="dxa"/>
            <w:noWrap w:val="0"/>
            <w:vAlign w:val="center"/>
          </w:tcPr>
          <w:p>
            <w:pPr>
              <w:widowControl/>
              <w:spacing w:line="260" w:lineRule="exact"/>
              <w:jc w:val="left"/>
              <w:rPr>
                <w:kern w:val="0"/>
                <w:sz w:val="21"/>
                <w:szCs w:val="21"/>
              </w:rPr>
            </w:pPr>
            <w:r>
              <w:rPr>
                <w:kern w:val="0"/>
                <w:sz w:val="21"/>
                <w:szCs w:val="21"/>
              </w:rPr>
              <w:t>2021-2025</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p>
        </w:tc>
        <w:tc>
          <w:tcPr>
            <w:tcW w:w="1034" w:type="dxa"/>
            <w:noWrap w:val="0"/>
            <w:vAlign w:val="center"/>
          </w:tcPr>
          <w:p>
            <w:pPr>
              <w:widowControl/>
              <w:spacing w:line="260" w:lineRule="exact"/>
              <w:jc w:val="center"/>
              <w:rPr>
                <w:kern w:val="0"/>
                <w:sz w:val="21"/>
                <w:szCs w:val="21"/>
              </w:rPr>
            </w:pPr>
          </w:p>
        </w:tc>
        <w:tc>
          <w:tcPr>
            <w:tcW w:w="851" w:type="dxa"/>
            <w:noWrap w:val="0"/>
            <w:vAlign w:val="center"/>
          </w:tcPr>
          <w:p>
            <w:pPr>
              <w:widowControl/>
              <w:spacing w:line="260" w:lineRule="exact"/>
              <w:jc w:val="center"/>
              <w:rPr>
                <w:kern w:val="0"/>
                <w:sz w:val="21"/>
                <w:szCs w:val="21"/>
              </w:rPr>
            </w:pPr>
          </w:p>
        </w:tc>
        <w:tc>
          <w:tcPr>
            <w:tcW w:w="992" w:type="dxa"/>
            <w:noWrap w:val="0"/>
            <w:vAlign w:val="center"/>
          </w:tcPr>
          <w:p>
            <w:pPr>
              <w:widowControl/>
              <w:spacing w:line="260" w:lineRule="exact"/>
              <w:jc w:val="center"/>
              <w:rPr>
                <w:kern w:val="0"/>
                <w:sz w:val="21"/>
                <w:szCs w:val="21"/>
              </w:rPr>
            </w:pPr>
          </w:p>
        </w:tc>
        <w:tc>
          <w:tcPr>
            <w:tcW w:w="1276" w:type="dxa"/>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67" w:type="dxa"/>
            <w:noWrap w:val="0"/>
            <w:vAlign w:val="center"/>
          </w:tcPr>
          <w:p>
            <w:pPr>
              <w:widowControl/>
              <w:spacing w:line="260" w:lineRule="exact"/>
              <w:jc w:val="center"/>
              <w:rPr>
                <w:kern w:val="0"/>
                <w:sz w:val="21"/>
                <w:szCs w:val="21"/>
              </w:rPr>
            </w:pPr>
            <w:r>
              <w:rPr>
                <w:kern w:val="0"/>
                <w:sz w:val="21"/>
                <w:szCs w:val="21"/>
              </w:rPr>
              <w:t>33</w:t>
            </w:r>
          </w:p>
        </w:tc>
        <w:tc>
          <w:tcPr>
            <w:tcW w:w="851" w:type="dxa"/>
            <w:noWrap w:val="0"/>
            <w:vAlign w:val="center"/>
          </w:tcPr>
          <w:p>
            <w:pPr>
              <w:widowControl/>
              <w:spacing w:line="260" w:lineRule="exact"/>
              <w:jc w:val="left"/>
              <w:rPr>
                <w:kern w:val="0"/>
                <w:sz w:val="21"/>
                <w:szCs w:val="21"/>
              </w:rPr>
            </w:pPr>
            <w:r>
              <w:rPr>
                <w:kern w:val="0"/>
                <w:sz w:val="21"/>
                <w:szCs w:val="21"/>
              </w:rPr>
              <w:t>黔江区智慧教育项目</w:t>
            </w:r>
          </w:p>
        </w:tc>
        <w:tc>
          <w:tcPr>
            <w:tcW w:w="1984" w:type="dxa"/>
            <w:noWrap w:val="0"/>
            <w:vAlign w:val="center"/>
          </w:tcPr>
          <w:p>
            <w:pPr>
              <w:widowControl/>
              <w:spacing w:line="260" w:lineRule="exact"/>
              <w:jc w:val="left"/>
              <w:rPr>
                <w:kern w:val="0"/>
                <w:sz w:val="21"/>
                <w:szCs w:val="21"/>
              </w:rPr>
            </w:pPr>
            <w:r>
              <w:rPr>
                <w:kern w:val="0"/>
                <w:sz w:val="21"/>
                <w:szCs w:val="21"/>
              </w:rPr>
              <w:t>黔江区智慧教育项目</w:t>
            </w:r>
          </w:p>
        </w:tc>
        <w:tc>
          <w:tcPr>
            <w:tcW w:w="4536" w:type="dxa"/>
            <w:noWrap w:val="0"/>
            <w:vAlign w:val="center"/>
          </w:tcPr>
          <w:p>
            <w:pPr>
              <w:widowControl/>
              <w:spacing w:line="260" w:lineRule="exact"/>
              <w:jc w:val="left"/>
              <w:rPr>
                <w:kern w:val="0"/>
                <w:sz w:val="21"/>
                <w:szCs w:val="21"/>
              </w:rPr>
            </w:pPr>
            <w:r>
              <w:rPr>
                <w:kern w:val="0"/>
                <w:sz w:val="21"/>
                <w:szCs w:val="21"/>
              </w:rPr>
              <w:t>建设黔江智慧教育云平台1个、平安校园视联网平台1个、教育城域网升级改造项目1个、升级改造校园网络78所，计算机网络教室、通用技术教室、录播教室等功能室500间，配置多媒体教学设备、电子班牌、在线巡课系统、智慧健康管理设备、创客教育设备等10000套。</w:t>
            </w:r>
          </w:p>
        </w:tc>
        <w:tc>
          <w:tcPr>
            <w:tcW w:w="709" w:type="dxa"/>
            <w:noWrap w:val="0"/>
            <w:vAlign w:val="center"/>
          </w:tcPr>
          <w:p>
            <w:pPr>
              <w:widowControl/>
              <w:spacing w:line="260" w:lineRule="exact"/>
              <w:jc w:val="left"/>
              <w:rPr>
                <w:kern w:val="0"/>
                <w:sz w:val="21"/>
                <w:szCs w:val="21"/>
              </w:rPr>
            </w:pPr>
            <w:r>
              <w:rPr>
                <w:kern w:val="0"/>
                <w:sz w:val="21"/>
                <w:szCs w:val="21"/>
              </w:rPr>
              <w:t>2021-2025</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r>
              <w:rPr>
                <w:kern w:val="0"/>
                <w:sz w:val="21"/>
                <w:szCs w:val="21"/>
              </w:rPr>
              <w:t>50,000</w:t>
            </w:r>
          </w:p>
        </w:tc>
        <w:tc>
          <w:tcPr>
            <w:tcW w:w="1034" w:type="dxa"/>
            <w:noWrap w:val="0"/>
            <w:vAlign w:val="center"/>
          </w:tcPr>
          <w:p>
            <w:pPr>
              <w:widowControl/>
              <w:spacing w:line="260" w:lineRule="exact"/>
              <w:jc w:val="center"/>
              <w:rPr>
                <w:kern w:val="0"/>
                <w:sz w:val="21"/>
                <w:szCs w:val="21"/>
              </w:rPr>
            </w:pPr>
            <w:r>
              <w:rPr>
                <w:kern w:val="0"/>
                <w:sz w:val="21"/>
                <w:szCs w:val="21"/>
              </w:rPr>
              <w:t>50,000</w:t>
            </w:r>
          </w:p>
        </w:tc>
        <w:tc>
          <w:tcPr>
            <w:tcW w:w="851" w:type="dxa"/>
            <w:noWrap w:val="0"/>
            <w:vAlign w:val="center"/>
          </w:tcPr>
          <w:p>
            <w:pPr>
              <w:widowControl/>
              <w:spacing w:line="260" w:lineRule="exact"/>
              <w:jc w:val="center"/>
              <w:rPr>
                <w:kern w:val="0"/>
                <w:sz w:val="21"/>
                <w:szCs w:val="21"/>
              </w:rPr>
            </w:pPr>
          </w:p>
        </w:tc>
        <w:tc>
          <w:tcPr>
            <w:tcW w:w="992" w:type="dxa"/>
            <w:noWrap w:val="0"/>
            <w:vAlign w:val="center"/>
          </w:tcPr>
          <w:p>
            <w:pPr>
              <w:widowControl/>
              <w:spacing w:line="260" w:lineRule="exact"/>
              <w:jc w:val="center"/>
              <w:rPr>
                <w:kern w:val="0"/>
                <w:sz w:val="21"/>
                <w:szCs w:val="21"/>
              </w:rPr>
            </w:pPr>
          </w:p>
        </w:tc>
        <w:tc>
          <w:tcPr>
            <w:tcW w:w="1276" w:type="dxa"/>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67" w:type="dxa"/>
            <w:noWrap w:val="0"/>
            <w:vAlign w:val="center"/>
          </w:tcPr>
          <w:p>
            <w:pPr>
              <w:widowControl/>
              <w:spacing w:line="260" w:lineRule="exact"/>
              <w:jc w:val="center"/>
              <w:rPr>
                <w:kern w:val="0"/>
                <w:sz w:val="21"/>
                <w:szCs w:val="21"/>
              </w:rPr>
            </w:pPr>
            <w:r>
              <w:rPr>
                <w:kern w:val="0"/>
                <w:sz w:val="21"/>
                <w:szCs w:val="21"/>
              </w:rPr>
              <w:t>34</w:t>
            </w:r>
          </w:p>
        </w:tc>
        <w:tc>
          <w:tcPr>
            <w:tcW w:w="85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渝东南职业教育城建设工程</w:t>
            </w: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黔江区民族职教中心迁建工程（续建）</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w:t>
            </w:r>
            <w:r>
              <w:rPr>
                <w:rFonts w:hint="eastAsia"/>
                <w:kern w:val="0"/>
                <w:sz w:val="21"/>
                <w:szCs w:val="21"/>
              </w:rPr>
              <w:t>408</w:t>
            </w:r>
            <w:r>
              <w:rPr>
                <w:kern w:val="0"/>
                <w:sz w:val="21"/>
                <w:szCs w:val="21"/>
              </w:rPr>
              <w:t>亩，新建校舍</w:t>
            </w:r>
            <w:r>
              <w:rPr>
                <w:rFonts w:hint="eastAsia"/>
                <w:kern w:val="0"/>
                <w:sz w:val="21"/>
                <w:szCs w:val="21"/>
              </w:rPr>
              <w:t>20</w:t>
            </w:r>
            <w:r>
              <w:rPr>
                <w:kern w:val="0"/>
                <w:sz w:val="21"/>
                <w:szCs w:val="21"/>
              </w:rPr>
              <w:t>万平方米，配套建设运动场、道路、管网、绿化等附属工程及设施设备</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w:t>
            </w:r>
            <w:r>
              <w:rPr>
                <w:rFonts w:hint="eastAsia"/>
                <w:kern w:val="0"/>
                <w:sz w:val="21"/>
                <w:szCs w:val="21"/>
              </w:rPr>
              <w:t>5</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rFonts w:hint="eastAsia"/>
                <w:kern w:val="0"/>
                <w:sz w:val="21"/>
                <w:szCs w:val="21"/>
              </w:rPr>
              <w:t>82</w:t>
            </w:r>
            <w:r>
              <w:rPr>
                <w:kern w:val="0"/>
                <w:sz w:val="21"/>
                <w:szCs w:val="21"/>
              </w:rPr>
              <w:t>,000（已完成投资2.9亿元）</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rFonts w:hint="eastAsia"/>
                <w:kern w:val="0"/>
                <w:sz w:val="21"/>
                <w:szCs w:val="21"/>
              </w:rPr>
              <w:t>5</w:t>
            </w:r>
            <w:r>
              <w:rPr>
                <w:kern w:val="0"/>
                <w:sz w:val="21"/>
                <w:szCs w:val="21"/>
              </w:rPr>
              <w:t>3,000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67" w:type="dxa"/>
            <w:noWrap w:val="0"/>
            <w:vAlign w:val="center"/>
          </w:tcPr>
          <w:p>
            <w:pPr>
              <w:widowControl/>
              <w:spacing w:line="260" w:lineRule="exact"/>
              <w:jc w:val="center"/>
              <w:rPr>
                <w:kern w:val="0"/>
                <w:sz w:val="21"/>
                <w:szCs w:val="21"/>
              </w:rPr>
            </w:pPr>
            <w:r>
              <w:rPr>
                <w:kern w:val="0"/>
                <w:sz w:val="21"/>
                <w:szCs w:val="21"/>
              </w:rPr>
              <w:t>35</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重庆旅游职业学院办学条件改善工程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w:t>
            </w:r>
            <w:r>
              <w:rPr>
                <w:rFonts w:hint="eastAsia"/>
                <w:kern w:val="0"/>
                <w:sz w:val="21"/>
                <w:szCs w:val="21"/>
              </w:rPr>
              <w:t>500亩，</w:t>
            </w:r>
            <w:r>
              <w:rPr>
                <w:kern w:val="0"/>
                <w:sz w:val="21"/>
                <w:szCs w:val="21"/>
              </w:rPr>
              <w:t>新建校舍</w:t>
            </w:r>
            <w:r>
              <w:rPr>
                <w:rFonts w:hint="eastAsia"/>
                <w:kern w:val="0"/>
                <w:sz w:val="21"/>
                <w:szCs w:val="21"/>
              </w:rPr>
              <w:t>15</w:t>
            </w:r>
            <w:r>
              <w:rPr>
                <w:kern w:val="0"/>
                <w:sz w:val="21"/>
                <w:szCs w:val="21"/>
              </w:rPr>
              <w:t>万平方米，配套建设相关附属设施设备</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2021-2025</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政府投资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rFonts w:hint="eastAsia"/>
                <w:kern w:val="0"/>
                <w:sz w:val="21"/>
                <w:szCs w:val="21"/>
              </w:rPr>
              <w:t>100，000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rFonts w:hint="eastAsia"/>
                <w:kern w:val="0"/>
                <w:sz w:val="21"/>
                <w:szCs w:val="21"/>
              </w:rPr>
              <w:t>50,000</w:t>
            </w: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rFonts w:hint="eastAsia"/>
                <w:kern w:val="0"/>
                <w:sz w:val="21"/>
                <w:szCs w:val="21"/>
              </w:rPr>
              <w:t>50,000</w:t>
            </w: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已到位地方政府专项债券资金4705万元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67" w:type="dxa"/>
            <w:noWrap w:val="0"/>
            <w:vAlign w:val="center"/>
          </w:tcPr>
          <w:p>
            <w:pPr>
              <w:widowControl/>
              <w:spacing w:line="260" w:lineRule="exact"/>
              <w:jc w:val="center"/>
              <w:rPr>
                <w:kern w:val="0"/>
                <w:sz w:val="21"/>
                <w:szCs w:val="21"/>
              </w:rPr>
            </w:pPr>
            <w:r>
              <w:rPr>
                <w:kern w:val="0"/>
                <w:sz w:val="21"/>
                <w:szCs w:val="21"/>
              </w:rPr>
              <w:t>36</w:t>
            </w:r>
          </w:p>
        </w:tc>
        <w:tc>
          <w:tcPr>
            <w:tcW w:w="85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重庆经贸职业学院改扩建工程</w:t>
            </w:r>
          </w:p>
        </w:tc>
        <w:tc>
          <w:tcPr>
            <w:tcW w:w="453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新征地500亩，新建校舍15万平方米，配套建设相关附属设施设备</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r>
              <w:rPr>
                <w:kern w:val="0"/>
                <w:sz w:val="21"/>
                <w:szCs w:val="21"/>
              </w:rPr>
              <w:t>2021-2025</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社会投资</w:t>
            </w:r>
          </w:p>
        </w:tc>
        <w:tc>
          <w:tcPr>
            <w:tcW w:w="9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100,000</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85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p>
        </w:tc>
        <w:tc>
          <w:tcPr>
            <w:tcW w:w="99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kern w:val="0"/>
                <w:sz w:val="21"/>
                <w:szCs w:val="21"/>
              </w:rPr>
            </w:pPr>
            <w:r>
              <w:rPr>
                <w:kern w:val="0"/>
                <w:sz w:val="21"/>
                <w:szCs w:val="21"/>
              </w:rPr>
              <w:t>100,000</w:t>
            </w: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outlineLvl w:val="9"/>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567" w:type="dxa"/>
            <w:noWrap w:val="0"/>
            <w:vAlign w:val="center"/>
          </w:tcPr>
          <w:p>
            <w:pPr>
              <w:widowControl/>
              <w:spacing w:line="260" w:lineRule="exact"/>
              <w:jc w:val="center"/>
              <w:rPr>
                <w:kern w:val="0"/>
                <w:sz w:val="21"/>
                <w:szCs w:val="21"/>
              </w:rPr>
            </w:pPr>
            <w:r>
              <w:rPr>
                <w:kern w:val="0"/>
                <w:sz w:val="21"/>
                <w:szCs w:val="21"/>
              </w:rPr>
              <w:t>37</w:t>
            </w:r>
          </w:p>
        </w:tc>
        <w:tc>
          <w:tcPr>
            <w:tcW w:w="851" w:type="dxa"/>
            <w:noWrap w:val="0"/>
            <w:vAlign w:val="center"/>
          </w:tcPr>
          <w:p>
            <w:pPr>
              <w:widowControl/>
              <w:spacing w:line="260" w:lineRule="exact"/>
              <w:jc w:val="left"/>
              <w:rPr>
                <w:kern w:val="0"/>
                <w:sz w:val="21"/>
                <w:szCs w:val="21"/>
              </w:rPr>
            </w:pPr>
            <w:r>
              <w:rPr>
                <w:kern w:val="0"/>
                <w:sz w:val="21"/>
                <w:szCs w:val="21"/>
              </w:rPr>
              <w:t>重庆武陵山中医药学院</w:t>
            </w:r>
          </w:p>
        </w:tc>
        <w:tc>
          <w:tcPr>
            <w:tcW w:w="1984" w:type="dxa"/>
            <w:noWrap w:val="0"/>
            <w:vAlign w:val="center"/>
          </w:tcPr>
          <w:p>
            <w:pPr>
              <w:widowControl/>
              <w:spacing w:line="260" w:lineRule="exact"/>
              <w:jc w:val="left"/>
              <w:rPr>
                <w:kern w:val="0"/>
                <w:sz w:val="21"/>
                <w:szCs w:val="21"/>
              </w:rPr>
            </w:pPr>
            <w:r>
              <w:rPr>
                <w:kern w:val="0"/>
                <w:sz w:val="21"/>
                <w:szCs w:val="21"/>
              </w:rPr>
              <w:t>重庆武陵山中医药学院</w:t>
            </w:r>
          </w:p>
        </w:tc>
        <w:tc>
          <w:tcPr>
            <w:tcW w:w="4536" w:type="dxa"/>
            <w:noWrap w:val="0"/>
            <w:vAlign w:val="center"/>
          </w:tcPr>
          <w:p>
            <w:pPr>
              <w:widowControl/>
              <w:spacing w:line="260" w:lineRule="exact"/>
              <w:jc w:val="left"/>
              <w:rPr>
                <w:kern w:val="0"/>
                <w:sz w:val="21"/>
                <w:szCs w:val="21"/>
              </w:rPr>
            </w:pPr>
            <w:r>
              <w:rPr>
                <w:kern w:val="0"/>
                <w:sz w:val="21"/>
                <w:szCs w:val="21"/>
              </w:rPr>
              <w:t>举办以医学教育、医疗服务和医药开发为一体，辐射武陵山区的本科医学院，新征地600亩，新建校舍30万平方米，配套建设相关附属设施设</w:t>
            </w:r>
          </w:p>
        </w:tc>
        <w:tc>
          <w:tcPr>
            <w:tcW w:w="709" w:type="dxa"/>
            <w:noWrap w:val="0"/>
            <w:vAlign w:val="center"/>
          </w:tcPr>
          <w:p>
            <w:pPr>
              <w:widowControl/>
              <w:spacing w:line="260" w:lineRule="exact"/>
              <w:jc w:val="left"/>
              <w:rPr>
                <w:kern w:val="0"/>
                <w:sz w:val="21"/>
                <w:szCs w:val="21"/>
              </w:rPr>
            </w:pPr>
            <w:r>
              <w:rPr>
                <w:kern w:val="0"/>
                <w:sz w:val="21"/>
                <w:szCs w:val="21"/>
              </w:rPr>
              <w:t>2021-2025</w:t>
            </w:r>
          </w:p>
        </w:tc>
        <w:tc>
          <w:tcPr>
            <w:tcW w:w="709" w:type="dxa"/>
            <w:noWrap w:val="0"/>
            <w:vAlign w:val="center"/>
          </w:tcPr>
          <w:p>
            <w:pPr>
              <w:widowControl/>
              <w:spacing w:line="260" w:lineRule="exact"/>
              <w:jc w:val="center"/>
              <w:rPr>
                <w:kern w:val="0"/>
                <w:sz w:val="21"/>
                <w:szCs w:val="21"/>
              </w:rPr>
            </w:pPr>
            <w:r>
              <w:rPr>
                <w:kern w:val="0"/>
                <w:sz w:val="21"/>
                <w:szCs w:val="21"/>
              </w:rPr>
              <w:t>社会投资</w:t>
            </w:r>
          </w:p>
        </w:tc>
        <w:tc>
          <w:tcPr>
            <w:tcW w:w="950" w:type="dxa"/>
            <w:noWrap w:val="0"/>
            <w:vAlign w:val="center"/>
          </w:tcPr>
          <w:p>
            <w:pPr>
              <w:widowControl/>
              <w:spacing w:line="260" w:lineRule="exact"/>
              <w:jc w:val="center"/>
              <w:rPr>
                <w:kern w:val="0"/>
                <w:sz w:val="21"/>
                <w:szCs w:val="21"/>
              </w:rPr>
            </w:pPr>
            <w:r>
              <w:rPr>
                <w:kern w:val="0"/>
                <w:sz w:val="21"/>
                <w:szCs w:val="21"/>
              </w:rPr>
              <w:t>100,000</w:t>
            </w:r>
          </w:p>
        </w:tc>
        <w:tc>
          <w:tcPr>
            <w:tcW w:w="1034" w:type="dxa"/>
            <w:noWrap w:val="0"/>
            <w:vAlign w:val="center"/>
          </w:tcPr>
          <w:p>
            <w:pPr>
              <w:widowControl/>
              <w:spacing w:line="260" w:lineRule="exact"/>
              <w:jc w:val="center"/>
              <w:rPr>
                <w:kern w:val="0"/>
                <w:sz w:val="21"/>
                <w:szCs w:val="21"/>
              </w:rPr>
            </w:pPr>
          </w:p>
        </w:tc>
        <w:tc>
          <w:tcPr>
            <w:tcW w:w="851" w:type="dxa"/>
            <w:noWrap w:val="0"/>
            <w:vAlign w:val="center"/>
          </w:tcPr>
          <w:p>
            <w:pPr>
              <w:widowControl/>
              <w:spacing w:line="260" w:lineRule="exact"/>
              <w:jc w:val="center"/>
              <w:rPr>
                <w:kern w:val="0"/>
                <w:sz w:val="21"/>
                <w:szCs w:val="21"/>
              </w:rPr>
            </w:pPr>
          </w:p>
        </w:tc>
        <w:tc>
          <w:tcPr>
            <w:tcW w:w="992" w:type="dxa"/>
            <w:noWrap w:val="0"/>
            <w:vAlign w:val="center"/>
          </w:tcPr>
          <w:p>
            <w:pPr>
              <w:widowControl/>
              <w:spacing w:line="260" w:lineRule="exact"/>
              <w:jc w:val="center"/>
              <w:rPr>
                <w:kern w:val="0"/>
                <w:sz w:val="21"/>
                <w:szCs w:val="21"/>
              </w:rPr>
            </w:pPr>
            <w:r>
              <w:rPr>
                <w:kern w:val="0"/>
                <w:sz w:val="21"/>
                <w:szCs w:val="21"/>
              </w:rPr>
              <w:t>100,000</w:t>
            </w:r>
          </w:p>
        </w:tc>
        <w:tc>
          <w:tcPr>
            <w:tcW w:w="1276" w:type="dxa"/>
            <w:noWrap w:val="0"/>
            <w:vAlign w:val="center"/>
          </w:tcPr>
          <w:p>
            <w:pPr>
              <w:widowControl/>
              <w:spacing w:line="260" w:lineRule="exact"/>
              <w:jc w:val="left"/>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567" w:type="dxa"/>
            <w:noWrap w:val="0"/>
            <w:vAlign w:val="center"/>
          </w:tcPr>
          <w:p>
            <w:pPr>
              <w:widowControl/>
              <w:spacing w:line="260" w:lineRule="exact"/>
              <w:jc w:val="center"/>
              <w:rPr>
                <w:kern w:val="0"/>
                <w:sz w:val="21"/>
                <w:szCs w:val="21"/>
              </w:rPr>
            </w:pPr>
            <w:r>
              <w:rPr>
                <w:kern w:val="0"/>
                <w:sz w:val="21"/>
                <w:szCs w:val="21"/>
              </w:rPr>
              <w:t>38</w:t>
            </w:r>
          </w:p>
        </w:tc>
        <w:tc>
          <w:tcPr>
            <w:tcW w:w="851" w:type="dxa"/>
            <w:noWrap w:val="0"/>
            <w:vAlign w:val="center"/>
          </w:tcPr>
          <w:p>
            <w:pPr>
              <w:widowControl/>
              <w:spacing w:line="260" w:lineRule="exact"/>
              <w:jc w:val="left"/>
              <w:rPr>
                <w:kern w:val="0"/>
                <w:sz w:val="21"/>
                <w:szCs w:val="21"/>
              </w:rPr>
            </w:pPr>
            <w:r>
              <w:rPr>
                <w:kern w:val="0"/>
                <w:sz w:val="21"/>
                <w:szCs w:val="21"/>
              </w:rPr>
              <w:t>渝东南教师进修学院建设工程</w:t>
            </w:r>
          </w:p>
        </w:tc>
        <w:tc>
          <w:tcPr>
            <w:tcW w:w="1984" w:type="dxa"/>
            <w:noWrap w:val="0"/>
            <w:vAlign w:val="center"/>
          </w:tcPr>
          <w:p>
            <w:pPr>
              <w:widowControl/>
              <w:spacing w:line="260" w:lineRule="exact"/>
              <w:jc w:val="left"/>
              <w:rPr>
                <w:kern w:val="0"/>
                <w:sz w:val="21"/>
                <w:szCs w:val="21"/>
              </w:rPr>
            </w:pPr>
            <w:r>
              <w:rPr>
                <w:kern w:val="0"/>
                <w:sz w:val="21"/>
                <w:szCs w:val="21"/>
              </w:rPr>
              <w:t>渝东南教师进修学院建设工程</w:t>
            </w:r>
          </w:p>
        </w:tc>
        <w:tc>
          <w:tcPr>
            <w:tcW w:w="4536" w:type="dxa"/>
            <w:noWrap w:val="0"/>
            <w:vAlign w:val="center"/>
          </w:tcPr>
          <w:p>
            <w:pPr>
              <w:widowControl/>
              <w:spacing w:line="260" w:lineRule="exact"/>
              <w:jc w:val="left"/>
              <w:rPr>
                <w:kern w:val="0"/>
                <w:sz w:val="21"/>
                <w:szCs w:val="21"/>
              </w:rPr>
            </w:pPr>
            <w:r>
              <w:rPr>
                <w:kern w:val="0"/>
                <w:sz w:val="21"/>
                <w:szCs w:val="21"/>
              </w:rPr>
              <w:t>新征地30亩，新建校舍3万平方米，配套建设运动场、停车库等相关附属设施</w:t>
            </w:r>
          </w:p>
        </w:tc>
        <w:tc>
          <w:tcPr>
            <w:tcW w:w="709" w:type="dxa"/>
            <w:noWrap w:val="0"/>
            <w:vAlign w:val="center"/>
          </w:tcPr>
          <w:p>
            <w:pPr>
              <w:widowControl/>
              <w:spacing w:line="260" w:lineRule="exact"/>
              <w:jc w:val="left"/>
              <w:rPr>
                <w:kern w:val="0"/>
                <w:sz w:val="21"/>
                <w:szCs w:val="21"/>
              </w:rPr>
            </w:pPr>
            <w:r>
              <w:rPr>
                <w:kern w:val="0"/>
                <w:sz w:val="21"/>
                <w:szCs w:val="21"/>
              </w:rPr>
              <w:t>2021-2025</w:t>
            </w:r>
          </w:p>
        </w:tc>
        <w:tc>
          <w:tcPr>
            <w:tcW w:w="709" w:type="dxa"/>
            <w:noWrap w:val="0"/>
            <w:vAlign w:val="center"/>
          </w:tcPr>
          <w:p>
            <w:pPr>
              <w:widowControl/>
              <w:spacing w:line="260" w:lineRule="exact"/>
              <w:jc w:val="center"/>
              <w:rPr>
                <w:kern w:val="0"/>
                <w:sz w:val="21"/>
                <w:szCs w:val="21"/>
              </w:rPr>
            </w:pPr>
            <w:r>
              <w:rPr>
                <w:kern w:val="0"/>
                <w:sz w:val="21"/>
                <w:szCs w:val="21"/>
              </w:rPr>
              <w:t>政府投资</w:t>
            </w:r>
          </w:p>
        </w:tc>
        <w:tc>
          <w:tcPr>
            <w:tcW w:w="950" w:type="dxa"/>
            <w:noWrap w:val="0"/>
            <w:vAlign w:val="center"/>
          </w:tcPr>
          <w:p>
            <w:pPr>
              <w:widowControl/>
              <w:spacing w:line="260" w:lineRule="exact"/>
              <w:jc w:val="center"/>
              <w:rPr>
                <w:kern w:val="0"/>
                <w:sz w:val="21"/>
                <w:szCs w:val="21"/>
              </w:rPr>
            </w:pPr>
            <w:r>
              <w:rPr>
                <w:kern w:val="0"/>
                <w:sz w:val="21"/>
                <w:szCs w:val="21"/>
              </w:rPr>
              <w:t>15,000</w:t>
            </w:r>
          </w:p>
        </w:tc>
        <w:tc>
          <w:tcPr>
            <w:tcW w:w="1034" w:type="dxa"/>
            <w:noWrap w:val="0"/>
            <w:vAlign w:val="center"/>
          </w:tcPr>
          <w:p>
            <w:pPr>
              <w:widowControl/>
              <w:spacing w:line="260" w:lineRule="exact"/>
              <w:jc w:val="center"/>
              <w:rPr>
                <w:kern w:val="0"/>
                <w:sz w:val="21"/>
                <w:szCs w:val="21"/>
              </w:rPr>
            </w:pPr>
            <w:r>
              <w:rPr>
                <w:kern w:val="0"/>
                <w:sz w:val="21"/>
                <w:szCs w:val="21"/>
              </w:rPr>
              <w:t>12,720</w:t>
            </w:r>
          </w:p>
        </w:tc>
        <w:tc>
          <w:tcPr>
            <w:tcW w:w="851" w:type="dxa"/>
            <w:noWrap w:val="0"/>
            <w:vAlign w:val="center"/>
          </w:tcPr>
          <w:p>
            <w:pPr>
              <w:widowControl/>
              <w:spacing w:line="260" w:lineRule="exact"/>
              <w:jc w:val="center"/>
              <w:rPr>
                <w:kern w:val="0"/>
                <w:sz w:val="21"/>
                <w:szCs w:val="21"/>
              </w:rPr>
            </w:pPr>
            <w:r>
              <w:rPr>
                <w:kern w:val="0"/>
                <w:sz w:val="21"/>
                <w:szCs w:val="21"/>
              </w:rPr>
              <w:t>2,280</w:t>
            </w:r>
          </w:p>
        </w:tc>
        <w:tc>
          <w:tcPr>
            <w:tcW w:w="992" w:type="dxa"/>
            <w:noWrap w:val="0"/>
            <w:vAlign w:val="center"/>
          </w:tcPr>
          <w:p>
            <w:pPr>
              <w:widowControl/>
              <w:spacing w:line="260" w:lineRule="exact"/>
              <w:jc w:val="center"/>
              <w:rPr>
                <w:kern w:val="0"/>
                <w:sz w:val="21"/>
                <w:szCs w:val="21"/>
              </w:rPr>
            </w:pPr>
          </w:p>
        </w:tc>
        <w:tc>
          <w:tcPr>
            <w:tcW w:w="1276" w:type="dxa"/>
            <w:noWrap w:val="0"/>
            <w:vAlign w:val="center"/>
          </w:tcPr>
          <w:p>
            <w:pPr>
              <w:widowControl/>
              <w:spacing w:line="260" w:lineRule="exact"/>
              <w:jc w:val="left"/>
              <w:rPr>
                <w:kern w:val="0"/>
                <w:sz w:val="21"/>
                <w:szCs w:val="21"/>
              </w:rPr>
            </w:pPr>
          </w:p>
        </w:tc>
      </w:tr>
    </w:tbl>
    <w:p>
      <w:pPr>
        <w:spacing w:line="500" w:lineRule="exact"/>
        <w:rPr>
          <w:rFonts w:hint="eastAsia"/>
          <w:sz w:val="28"/>
          <w:szCs w:val="28"/>
        </w:rPr>
      </w:pPr>
    </w:p>
    <w:p>
      <w:pPr>
        <w:spacing w:line="500" w:lineRule="exact"/>
        <w:rPr>
          <w:rFonts w:hint="eastAsia"/>
        </w:rPr>
      </w:pPr>
    </w:p>
    <w:p>
      <w:pPr>
        <w:spacing w:line="500" w:lineRule="exact"/>
        <w:sectPr>
          <w:pgSz w:w="16838" w:h="11906" w:orient="landscape"/>
          <w:pgMar w:top="1531" w:right="1247" w:bottom="1531" w:left="1247" w:header="851" w:footer="907" w:gutter="0"/>
          <w:cols w:space="720" w:num="1"/>
          <w:docGrid w:type="linesAndChars" w:linePitch="579" w:charSpace="-849"/>
        </w:sect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pBdr>
          <w:top w:val="single" w:color="auto" w:sz="4" w:space="1"/>
          <w:bottom w:val="single" w:color="auto" w:sz="8" w:space="1"/>
        </w:pBdr>
        <w:rPr>
          <w:rFonts w:hint="eastAsia"/>
          <w:sz w:val="28"/>
          <w:szCs w:val="28"/>
        </w:rPr>
      </w:pPr>
      <w:r>
        <w:rPr>
          <w:rFonts w:hint="eastAsia"/>
          <w:sz w:val="28"/>
          <w:szCs w:val="28"/>
        </w:rPr>
        <w:t>重庆市黔江区</w:t>
      </w:r>
      <w:r>
        <w:rPr>
          <w:rFonts w:hint="eastAsia"/>
          <w:sz w:val="28"/>
          <w:szCs w:val="28"/>
          <w:lang w:eastAsia="zh-CN"/>
        </w:rPr>
        <w:t>人民政府办公室</w:t>
      </w:r>
      <w:r>
        <w:rPr>
          <w:rFonts w:hint="eastAsia"/>
          <w:sz w:val="28"/>
          <w:szCs w:val="28"/>
        </w:rPr>
        <w:t xml:space="preserve">              </w:t>
      </w:r>
      <w:r>
        <w:rPr>
          <w:rFonts w:hint="eastAsia"/>
          <w:sz w:val="28"/>
          <w:szCs w:val="28"/>
          <w:lang w:val="en-US" w:eastAsia="zh-CN"/>
        </w:rPr>
        <w:t xml:space="preserve">     </w:t>
      </w:r>
      <w:r>
        <w:rPr>
          <w:rFonts w:hint="eastAsia"/>
          <w:sz w:val="28"/>
          <w:szCs w:val="28"/>
        </w:rPr>
        <w:t>2021年11月</w:t>
      </w:r>
      <w:r>
        <w:rPr>
          <w:rFonts w:hint="eastAsia"/>
          <w:sz w:val="28"/>
          <w:szCs w:val="28"/>
          <w:lang w:val="en-US" w:eastAsia="zh-CN"/>
        </w:rPr>
        <w:t>30</w:t>
      </w:r>
      <w:r>
        <w:rPr>
          <w:rFonts w:hint="eastAsia"/>
          <w:sz w:val="28"/>
          <w:szCs w:val="28"/>
        </w:rPr>
        <w:t>日印</w:t>
      </w:r>
    </w:p>
    <w:sectPr>
      <w:pgSz w:w="11906" w:h="16838"/>
      <w:pgMar w:top="1418" w:right="1531" w:bottom="1418" w:left="1531" w:header="851" w:footer="907"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right"/>
      <w:rPr>
        <w:sz w:val="28"/>
      </w:rPr>
    </w:pPr>
    <w:r>
      <w:rPr>
        <w:rStyle w:val="13"/>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13"/>
        <w:rFonts w:hint="eastAsia"/>
        <w:sz w:val="28"/>
      </w:rPr>
      <w:t>―</w:t>
    </w:r>
  </w:p>
  <w:p>
    <w:pPr>
      <w:rPr>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sz w:val="28"/>
      </w:rPr>
    </w:pPr>
    <w:r>
      <w:rPr>
        <w:rStyle w:val="13"/>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13"/>
        <w:rFonts w:hint="eastAsia"/>
        <w:sz w:val="28"/>
      </w:rPr>
      <w:t>―</w:t>
    </w:r>
  </w:p>
  <w:p>
    <w:pPr>
      <w:rPr>
        <w:sz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pPr>
        <w:pStyle w:val="9"/>
      </w:pPr>
      <w:r>
        <w:rPr>
          <w:rStyle w:val="15"/>
        </w:rPr>
        <w:footnoteRef/>
      </w:r>
      <w:r>
        <w:rPr>
          <w:rFonts w:hint="eastAsia"/>
        </w:rPr>
        <w:t xml:space="preserve"> </w:t>
      </w:r>
      <w:r>
        <w:t>三全育人</w:t>
      </w:r>
      <w:r>
        <w:rPr>
          <w:rFonts w:hint="eastAsia"/>
        </w:rPr>
        <w:t>：</w:t>
      </w:r>
      <w:r>
        <w:t>全员育人、全程育人、全方位育人</w:t>
      </w:r>
      <w:r>
        <w:rPr>
          <w:rFonts w:hint="eastAsia"/>
        </w:rPr>
        <w:t>。</w:t>
      </w:r>
    </w:p>
  </w:footnote>
  <w:footnote w:id="1">
    <w:p>
      <w:pPr>
        <w:pStyle w:val="9"/>
      </w:pPr>
      <w:r>
        <w:rPr>
          <w:rStyle w:val="15"/>
        </w:rPr>
        <w:footnoteRef/>
      </w:r>
      <w:r>
        <w:t xml:space="preserve"> </w:t>
      </w:r>
      <w:r>
        <w:rPr>
          <w:rFonts w:hint="eastAsia"/>
        </w:rPr>
        <w:t>四有好老师：</w:t>
      </w:r>
      <w:r>
        <w:t>有理想信念、有道德情操、有扎实学识、有仁爱之心</w:t>
      </w:r>
      <w:r>
        <w:rPr>
          <w:rFonts w:hint="eastAsia"/>
        </w:rPr>
        <w:t>；</w:t>
      </w:r>
    </w:p>
  </w:footnote>
  <w:footnote w:id="2">
    <w:p>
      <w:pPr>
        <w:pStyle w:val="9"/>
      </w:pPr>
      <w:r>
        <w:rPr>
          <w:rStyle w:val="15"/>
        </w:rPr>
        <w:footnoteRef/>
      </w:r>
      <w:r>
        <w:t xml:space="preserve"> </w:t>
      </w:r>
      <w:r>
        <w:rPr>
          <w:rFonts w:hint="eastAsia"/>
        </w:rPr>
        <w:t>四个引路人：</w:t>
      </w:r>
      <w:r>
        <w:t>广大教师要做学生锤炼品格的引路人</w:t>
      </w:r>
      <w:r>
        <w:rPr>
          <w:rFonts w:hint="eastAsia"/>
        </w:rPr>
        <w:t>，</w:t>
      </w:r>
      <w:r>
        <w:t>做学生学习知识的引路人</w:t>
      </w:r>
      <w:r>
        <w:rPr>
          <w:rFonts w:hint="eastAsia"/>
        </w:rPr>
        <w:t>，</w:t>
      </w:r>
      <w:r>
        <w:t>做学生创新思维的引路人</w:t>
      </w:r>
      <w:r>
        <w:rPr>
          <w:rFonts w:hint="eastAsia"/>
        </w:rPr>
        <w:t>，</w:t>
      </w:r>
      <w:r>
        <w:t>做学生奉献祖国的引路人</w:t>
      </w:r>
    </w:p>
  </w:footnote>
  <w:footnote w:id="3">
    <w:p>
      <w:pPr>
        <w:pStyle w:val="9"/>
      </w:pPr>
      <w:r>
        <w:rPr>
          <w:rStyle w:val="15"/>
        </w:rPr>
        <w:footnoteRef/>
      </w:r>
      <w:r>
        <w:rPr>
          <w:rFonts w:hint="eastAsia"/>
        </w:rPr>
        <w:t xml:space="preserve"> </w:t>
      </w:r>
      <w:r>
        <w:t>四个相统一</w:t>
      </w:r>
      <w:r>
        <w:rPr>
          <w:rFonts w:hint="eastAsia"/>
        </w:rPr>
        <w:t>：坚持教书和育人相统一，坚持言传和身教相统一，坚持潜心问道和关注社会相统一，坚持学术自由和学术规范相统一</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evenAndOddHeaders w:val="true"/>
  <w:drawingGridHorizontalSpacing w:val="158"/>
  <w:drawingGridVerticalSpacing w:val="579"/>
  <w:displayHorizontalDrawingGridEvery w:val="0"/>
  <w:displayVerticalDrawingGridEvery w:val="1"/>
  <w:characterSpacingControl w:val="compressPunctuation"/>
  <w:footnotePr>
    <w:footnote w:id="8"/>
    <w:footnote w:id="9"/>
  </w:footnotePr>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0FC"/>
    <w:rsid w:val="00000382"/>
    <w:rsid w:val="000011A2"/>
    <w:rsid w:val="00001B7B"/>
    <w:rsid w:val="00003093"/>
    <w:rsid w:val="0000329F"/>
    <w:rsid w:val="00004CD7"/>
    <w:rsid w:val="00005B3A"/>
    <w:rsid w:val="00007FC6"/>
    <w:rsid w:val="00010674"/>
    <w:rsid w:val="000116DA"/>
    <w:rsid w:val="000122F6"/>
    <w:rsid w:val="00012A17"/>
    <w:rsid w:val="00013335"/>
    <w:rsid w:val="00013BC2"/>
    <w:rsid w:val="00013FC5"/>
    <w:rsid w:val="000143FD"/>
    <w:rsid w:val="00014B91"/>
    <w:rsid w:val="00015E64"/>
    <w:rsid w:val="00017121"/>
    <w:rsid w:val="000177C5"/>
    <w:rsid w:val="00020767"/>
    <w:rsid w:val="000208E0"/>
    <w:rsid w:val="00021D35"/>
    <w:rsid w:val="0002225C"/>
    <w:rsid w:val="0002331B"/>
    <w:rsid w:val="000239A5"/>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60AE"/>
    <w:rsid w:val="000476FF"/>
    <w:rsid w:val="00050279"/>
    <w:rsid w:val="000510E6"/>
    <w:rsid w:val="00051699"/>
    <w:rsid w:val="00051EA7"/>
    <w:rsid w:val="0005288B"/>
    <w:rsid w:val="000542B3"/>
    <w:rsid w:val="000545F0"/>
    <w:rsid w:val="00055746"/>
    <w:rsid w:val="0005657B"/>
    <w:rsid w:val="00056F10"/>
    <w:rsid w:val="0005724A"/>
    <w:rsid w:val="00057A77"/>
    <w:rsid w:val="00057B21"/>
    <w:rsid w:val="00057F7E"/>
    <w:rsid w:val="000604B2"/>
    <w:rsid w:val="0006085E"/>
    <w:rsid w:val="00060D00"/>
    <w:rsid w:val="00060E1C"/>
    <w:rsid w:val="0006205A"/>
    <w:rsid w:val="000634A1"/>
    <w:rsid w:val="00063AD5"/>
    <w:rsid w:val="0006419E"/>
    <w:rsid w:val="00065EDA"/>
    <w:rsid w:val="000660AB"/>
    <w:rsid w:val="00066D40"/>
    <w:rsid w:val="00067F0D"/>
    <w:rsid w:val="00070408"/>
    <w:rsid w:val="000713E8"/>
    <w:rsid w:val="000714DF"/>
    <w:rsid w:val="00071E64"/>
    <w:rsid w:val="000729F4"/>
    <w:rsid w:val="00072F7B"/>
    <w:rsid w:val="00074173"/>
    <w:rsid w:val="000741CF"/>
    <w:rsid w:val="000749FB"/>
    <w:rsid w:val="000761F2"/>
    <w:rsid w:val="000767F3"/>
    <w:rsid w:val="00080464"/>
    <w:rsid w:val="00080EFD"/>
    <w:rsid w:val="00081B44"/>
    <w:rsid w:val="00084781"/>
    <w:rsid w:val="000858A8"/>
    <w:rsid w:val="000878C1"/>
    <w:rsid w:val="00090C7A"/>
    <w:rsid w:val="00091529"/>
    <w:rsid w:val="000917C2"/>
    <w:rsid w:val="00092641"/>
    <w:rsid w:val="00092DCC"/>
    <w:rsid w:val="00094549"/>
    <w:rsid w:val="0009670D"/>
    <w:rsid w:val="00096AB3"/>
    <w:rsid w:val="00097768"/>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AF8"/>
    <w:rsid w:val="000C6B0C"/>
    <w:rsid w:val="000C6B21"/>
    <w:rsid w:val="000C702E"/>
    <w:rsid w:val="000C71A9"/>
    <w:rsid w:val="000C7DF8"/>
    <w:rsid w:val="000D10B2"/>
    <w:rsid w:val="000D1288"/>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51C4"/>
    <w:rsid w:val="000E5323"/>
    <w:rsid w:val="000E534A"/>
    <w:rsid w:val="000F045B"/>
    <w:rsid w:val="000F2923"/>
    <w:rsid w:val="000F34E2"/>
    <w:rsid w:val="000F51C7"/>
    <w:rsid w:val="000F54A2"/>
    <w:rsid w:val="000F5DA0"/>
    <w:rsid w:val="000F64D2"/>
    <w:rsid w:val="00106917"/>
    <w:rsid w:val="00107781"/>
    <w:rsid w:val="00113397"/>
    <w:rsid w:val="00114199"/>
    <w:rsid w:val="0011527B"/>
    <w:rsid w:val="0011669C"/>
    <w:rsid w:val="0011723B"/>
    <w:rsid w:val="0011723D"/>
    <w:rsid w:val="00117B81"/>
    <w:rsid w:val="001202C1"/>
    <w:rsid w:val="00122677"/>
    <w:rsid w:val="00122F31"/>
    <w:rsid w:val="001230FC"/>
    <w:rsid w:val="00125E3B"/>
    <w:rsid w:val="0012609C"/>
    <w:rsid w:val="00126520"/>
    <w:rsid w:val="001303B6"/>
    <w:rsid w:val="00130780"/>
    <w:rsid w:val="00130E4D"/>
    <w:rsid w:val="0013201D"/>
    <w:rsid w:val="0013224A"/>
    <w:rsid w:val="00132A20"/>
    <w:rsid w:val="00133386"/>
    <w:rsid w:val="0013484F"/>
    <w:rsid w:val="00134C96"/>
    <w:rsid w:val="0014002A"/>
    <w:rsid w:val="00140220"/>
    <w:rsid w:val="001411E4"/>
    <w:rsid w:val="00141B55"/>
    <w:rsid w:val="00142AA9"/>
    <w:rsid w:val="00144D97"/>
    <w:rsid w:val="00144E65"/>
    <w:rsid w:val="00145242"/>
    <w:rsid w:val="00145DF4"/>
    <w:rsid w:val="00145E1D"/>
    <w:rsid w:val="00145F70"/>
    <w:rsid w:val="00146709"/>
    <w:rsid w:val="00147138"/>
    <w:rsid w:val="001508A5"/>
    <w:rsid w:val="001509A5"/>
    <w:rsid w:val="00153246"/>
    <w:rsid w:val="0015389A"/>
    <w:rsid w:val="00153A3D"/>
    <w:rsid w:val="00154DD1"/>
    <w:rsid w:val="00155095"/>
    <w:rsid w:val="00155775"/>
    <w:rsid w:val="0015694C"/>
    <w:rsid w:val="001578D5"/>
    <w:rsid w:val="00160E8A"/>
    <w:rsid w:val="00160F7A"/>
    <w:rsid w:val="00162C80"/>
    <w:rsid w:val="001644EB"/>
    <w:rsid w:val="00165E94"/>
    <w:rsid w:val="00166911"/>
    <w:rsid w:val="00166EAB"/>
    <w:rsid w:val="00170182"/>
    <w:rsid w:val="00170B82"/>
    <w:rsid w:val="00171FC6"/>
    <w:rsid w:val="0017419F"/>
    <w:rsid w:val="001759DE"/>
    <w:rsid w:val="00175C23"/>
    <w:rsid w:val="0017638A"/>
    <w:rsid w:val="0017677B"/>
    <w:rsid w:val="00180B55"/>
    <w:rsid w:val="00181320"/>
    <w:rsid w:val="00182365"/>
    <w:rsid w:val="001829CF"/>
    <w:rsid w:val="0018388A"/>
    <w:rsid w:val="00184836"/>
    <w:rsid w:val="00184880"/>
    <w:rsid w:val="001853F2"/>
    <w:rsid w:val="00190637"/>
    <w:rsid w:val="00190910"/>
    <w:rsid w:val="00190B5C"/>
    <w:rsid w:val="00192BD7"/>
    <w:rsid w:val="00192F3A"/>
    <w:rsid w:val="00194A52"/>
    <w:rsid w:val="00194B5C"/>
    <w:rsid w:val="00195D86"/>
    <w:rsid w:val="0019633C"/>
    <w:rsid w:val="00197446"/>
    <w:rsid w:val="001A0CE8"/>
    <w:rsid w:val="001A20B9"/>
    <w:rsid w:val="001A355E"/>
    <w:rsid w:val="001A35F7"/>
    <w:rsid w:val="001A368C"/>
    <w:rsid w:val="001A3C53"/>
    <w:rsid w:val="001A3EB5"/>
    <w:rsid w:val="001A3EDE"/>
    <w:rsid w:val="001A65A2"/>
    <w:rsid w:val="001A65A6"/>
    <w:rsid w:val="001A7BC4"/>
    <w:rsid w:val="001B01D0"/>
    <w:rsid w:val="001B03F0"/>
    <w:rsid w:val="001B1681"/>
    <w:rsid w:val="001B1E84"/>
    <w:rsid w:val="001B232E"/>
    <w:rsid w:val="001B236F"/>
    <w:rsid w:val="001B3A3F"/>
    <w:rsid w:val="001B5281"/>
    <w:rsid w:val="001B5FA3"/>
    <w:rsid w:val="001B6981"/>
    <w:rsid w:val="001B6C61"/>
    <w:rsid w:val="001B6D91"/>
    <w:rsid w:val="001B6F66"/>
    <w:rsid w:val="001B796D"/>
    <w:rsid w:val="001B7CB0"/>
    <w:rsid w:val="001C0AE4"/>
    <w:rsid w:val="001C2525"/>
    <w:rsid w:val="001C436D"/>
    <w:rsid w:val="001C43B5"/>
    <w:rsid w:val="001C586A"/>
    <w:rsid w:val="001C69ED"/>
    <w:rsid w:val="001C6D8F"/>
    <w:rsid w:val="001C7AA8"/>
    <w:rsid w:val="001C7F40"/>
    <w:rsid w:val="001D01DF"/>
    <w:rsid w:val="001D11AB"/>
    <w:rsid w:val="001D1323"/>
    <w:rsid w:val="001D14C7"/>
    <w:rsid w:val="001D1889"/>
    <w:rsid w:val="001D1CAD"/>
    <w:rsid w:val="001D328C"/>
    <w:rsid w:val="001D4F93"/>
    <w:rsid w:val="001D5530"/>
    <w:rsid w:val="001D56D9"/>
    <w:rsid w:val="001D585C"/>
    <w:rsid w:val="001D5D73"/>
    <w:rsid w:val="001D6275"/>
    <w:rsid w:val="001D6DDE"/>
    <w:rsid w:val="001D735E"/>
    <w:rsid w:val="001D75CD"/>
    <w:rsid w:val="001D7777"/>
    <w:rsid w:val="001E0EAB"/>
    <w:rsid w:val="001E14DC"/>
    <w:rsid w:val="001E1567"/>
    <w:rsid w:val="001E3E01"/>
    <w:rsid w:val="001E45D5"/>
    <w:rsid w:val="001E5DD4"/>
    <w:rsid w:val="001E6849"/>
    <w:rsid w:val="001E7EA3"/>
    <w:rsid w:val="001F188B"/>
    <w:rsid w:val="001F345D"/>
    <w:rsid w:val="001F3CFF"/>
    <w:rsid w:val="001F44FA"/>
    <w:rsid w:val="001F4EFA"/>
    <w:rsid w:val="001F5290"/>
    <w:rsid w:val="001F5A35"/>
    <w:rsid w:val="001F5D80"/>
    <w:rsid w:val="001F6064"/>
    <w:rsid w:val="001F6855"/>
    <w:rsid w:val="001F6DA4"/>
    <w:rsid w:val="001F76DB"/>
    <w:rsid w:val="001F7943"/>
    <w:rsid w:val="00200EFD"/>
    <w:rsid w:val="00201000"/>
    <w:rsid w:val="002010BC"/>
    <w:rsid w:val="00201295"/>
    <w:rsid w:val="0020136C"/>
    <w:rsid w:val="00202F85"/>
    <w:rsid w:val="00203D0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16B7"/>
    <w:rsid w:val="00231F10"/>
    <w:rsid w:val="00232D70"/>
    <w:rsid w:val="00233FB8"/>
    <w:rsid w:val="00235010"/>
    <w:rsid w:val="00236D56"/>
    <w:rsid w:val="0023797B"/>
    <w:rsid w:val="00237E75"/>
    <w:rsid w:val="00240B96"/>
    <w:rsid w:val="002411B8"/>
    <w:rsid w:val="002423BA"/>
    <w:rsid w:val="002428FF"/>
    <w:rsid w:val="00242AFD"/>
    <w:rsid w:val="002434F9"/>
    <w:rsid w:val="00244344"/>
    <w:rsid w:val="00245352"/>
    <w:rsid w:val="00245F32"/>
    <w:rsid w:val="00247742"/>
    <w:rsid w:val="00247DF9"/>
    <w:rsid w:val="00251358"/>
    <w:rsid w:val="00252E04"/>
    <w:rsid w:val="002532C2"/>
    <w:rsid w:val="0025354C"/>
    <w:rsid w:val="002550EA"/>
    <w:rsid w:val="00255151"/>
    <w:rsid w:val="00256678"/>
    <w:rsid w:val="00257070"/>
    <w:rsid w:val="0025749C"/>
    <w:rsid w:val="00257B1F"/>
    <w:rsid w:val="00257ED6"/>
    <w:rsid w:val="00261901"/>
    <w:rsid w:val="00261EF9"/>
    <w:rsid w:val="0026223F"/>
    <w:rsid w:val="0026233C"/>
    <w:rsid w:val="00262A45"/>
    <w:rsid w:val="0026342D"/>
    <w:rsid w:val="00264224"/>
    <w:rsid w:val="00265878"/>
    <w:rsid w:val="002669DB"/>
    <w:rsid w:val="002678DD"/>
    <w:rsid w:val="00267B54"/>
    <w:rsid w:val="00270AF8"/>
    <w:rsid w:val="002712E5"/>
    <w:rsid w:val="0027139B"/>
    <w:rsid w:val="00271879"/>
    <w:rsid w:val="00271B86"/>
    <w:rsid w:val="002721CE"/>
    <w:rsid w:val="002729B5"/>
    <w:rsid w:val="00275090"/>
    <w:rsid w:val="002753B4"/>
    <w:rsid w:val="00276BED"/>
    <w:rsid w:val="002802D2"/>
    <w:rsid w:val="00281675"/>
    <w:rsid w:val="00281BD8"/>
    <w:rsid w:val="00281BDD"/>
    <w:rsid w:val="00282903"/>
    <w:rsid w:val="0028300F"/>
    <w:rsid w:val="0028529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EE7"/>
    <w:rsid w:val="002A1DED"/>
    <w:rsid w:val="002A1ED7"/>
    <w:rsid w:val="002A30E7"/>
    <w:rsid w:val="002A37BA"/>
    <w:rsid w:val="002A3993"/>
    <w:rsid w:val="002A419A"/>
    <w:rsid w:val="002A452E"/>
    <w:rsid w:val="002A5796"/>
    <w:rsid w:val="002A6852"/>
    <w:rsid w:val="002A69F6"/>
    <w:rsid w:val="002A7176"/>
    <w:rsid w:val="002B0185"/>
    <w:rsid w:val="002B112B"/>
    <w:rsid w:val="002B190E"/>
    <w:rsid w:val="002B2343"/>
    <w:rsid w:val="002B2777"/>
    <w:rsid w:val="002B5135"/>
    <w:rsid w:val="002B5D42"/>
    <w:rsid w:val="002B7A47"/>
    <w:rsid w:val="002C1542"/>
    <w:rsid w:val="002C20A7"/>
    <w:rsid w:val="002C293B"/>
    <w:rsid w:val="002C2F71"/>
    <w:rsid w:val="002C3B2A"/>
    <w:rsid w:val="002C5979"/>
    <w:rsid w:val="002C6013"/>
    <w:rsid w:val="002C667B"/>
    <w:rsid w:val="002C776E"/>
    <w:rsid w:val="002C79F6"/>
    <w:rsid w:val="002D00D5"/>
    <w:rsid w:val="002D1241"/>
    <w:rsid w:val="002D162B"/>
    <w:rsid w:val="002D2B3B"/>
    <w:rsid w:val="002D326E"/>
    <w:rsid w:val="002D3AF1"/>
    <w:rsid w:val="002D3E81"/>
    <w:rsid w:val="002D479B"/>
    <w:rsid w:val="002D66DF"/>
    <w:rsid w:val="002D698C"/>
    <w:rsid w:val="002D71D3"/>
    <w:rsid w:val="002E0141"/>
    <w:rsid w:val="002E1618"/>
    <w:rsid w:val="002E3E9F"/>
    <w:rsid w:val="002E5373"/>
    <w:rsid w:val="002E5E4E"/>
    <w:rsid w:val="002E792F"/>
    <w:rsid w:val="002F050A"/>
    <w:rsid w:val="002F07E9"/>
    <w:rsid w:val="002F0EDC"/>
    <w:rsid w:val="002F19AD"/>
    <w:rsid w:val="002F1C37"/>
    <w:rsid w:val="002F21CC"/>
    <w:rsid w:val="002F2AA4"/>
    <w:rsid w:val="002F2F9A"/>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4155"/>
    <w:rsid w:val="003046F3"/>
    <w:rsid w:val="00304F69"/>
    <w:rsid w:val="00306347"/>
    <w:rsid w:val="00306AA4"/>
    <w:rsid w:val="0030749E"/>
    <w:rsid w:val="003076E2"/>
    <w:rsid w:val="003102BA"/>
    <w:rsid w:val="003112FF"/>
    <w:rsid w:val="00312B2A"/>
    <w:rsid w:val="00313459"/>
    <w:rsid w:val="00314E9E"/>
    <w:rsid w:val="00315200"/>
    <w:rsid w:val="00315336"/>
    <w:rsid w:val="003159A2"/>
    <w:rsid w:val="00315C61"/>
    <w:rsid w:val="00315E67"/>
    <w:rsid w:val="00316D18"/>
    <w:rsid w:val="00317A16"/>
    <w:rsid w:val="0032102F"/>
    <w:rsid w:val="00323594"/>
    <w:rsid w:val="00323AE6"/>
    <w:rsid w:val="00324133"/>
    <w:rsid w:val="003247B9"/>
    <w:rsid w:val="003248EA"/>
    <w:rsid w:val="00325703"/>
    <w:rsid w:val="00327FAD"/>
    <w:rsid w:val="00330574"/>
    <w:rsid w:val="00330794"/>
    <w:rsid w:val="003319E3"/>
    <w:rsid w:val="00331F3D"/>
    <w:rsid w:val="00331FF0"/>
    <w:rsid w:val="003326BC"/>
    <w:rsid w:val="00332A67"/>
    <w:rsid w:val="00333459"/>
    <w:rsid w:val="00333F1D"/>
    <w:rsid w:val="0033612A"/>
    <w:rsid w:val="00336200"/>
    <w:rsid w:val="00336B22"/>
    <w:rsid w:val="00336D04"/>
    <w:rsid w:val="00336FE1"/>
    <w:rsid w:val="00340685"/>
    <w:rsid w:val="00340CC3"/>
    <w:rsid w:val="0034163E"/>
    <w:rsid w:val="003422A9"/>
    <w:rsid w:val="00342B1E"/>
    <w:rsid w:val="00343210"/>
    <w:rsid w:val="00343C8C"/>
    <w:rsid w:val="00343ECD"/>
    <w:rsid w:val="00344BEE"/>
    <w:rsid w:val="00346317"/>
    <w:rsid w:val="00350DEA"/>
    <w:rsid w:val="003515EF"/>
    <w:rsid w:val="003530C5"/>
    <w:rsid w:val="00355240"/>
    <w:rsid w:val="003556BD"/>
    <w:rsid w:val="003570D8"/>
    <w:rsid w:val="003578B4"/>
    <w:rsid w:val="00357D61"/>
    <w:rsid w:val="0036009E"/>
    <w:rsid w:val="0036053D"/>
    <w:rsid w:val="00360684"/>
    <w:rsid w:val="00360B41"/>
    <w:rsid w:val="00360CCA"/>
    <w:rsid w:val="00360E8E"/>
    <w:rsid w:val="003611A8"/>
    <w:rsid w:val="0036123E"/>
    <w:rsid w:val="00363066"/>
    <w:rsid w:val="00363C17"/>
    <w:rsid w:val="00364803"/>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100B"/>
    <w:rsid w:val="0038208F"/>
    <w:rsid w:val="00382BB6"/>
    <w:rsid w:val="0038409E"/>
    <w:rsid w:val="00384132"/>
    <w:rsid w:val="00384420"/>
    <w:rsid w:val="00385153"/>
    <w:rsid w:val="0038564B"/>
    <w:rsid w:val="00386805"/>
    <w:rsid w:val="0038773B"/>
    <w:rsid w:val="003903E3"/>
    <w:rsid w:val="003913F0"/>
    <w:rsid w:val="00392691"/>
    <w:rsid w:val="00392F1C"/>
    <w:rsid w:val="0039402B"/>
    <w:rsid w:val="003940D9"/>
    <w:rsid w:val="003942E1"/>
    <w:rsid w:val="003958FD"/>
    <w:rsid w:val="00395E96"/>
    <w:rsid w:val="00395F25"/>
    <w:rsid w:val="003A09FD"/>
    <w:rsid w:val="003A154E"/>
    <w:rsid w:val="003A164D"/>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E0A"/>
    <w:rsid w:val="003B230A"/>
    <w:rsid w:val="003B3200"/>
    <w:rsid w:val="003B32E3"/>
    <w:rsid w:val="003B3D8A"/>
    <w:rsid w:val="003B417A"/>
    <w:rsid w:val="003B42C6"/>
    <w:rsid w:val="003B4FE4"/>
    <w:rsid w:val="003B58EE"/>
    <w:rsid w:val="003B68E3"/>
    <w:rsid w:val="003B74EB"/>
    <w:rsid w:val="003C0386"/>
    <w:rsid w:val="003C0792"/>
    <w:rsid w:val="003C0A11"/>
    <w:rsid w:val="003C0DA0"/>
    <w:rsid w:val="003C1F96"/>
    <w:rsid w:val="003C30A5"/>
    <w:rsid w:val="003C36BD"/>
    <w:rsid w:val="003C3C7B"/>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DD"/>
    <w:rsid w:val="003D7775"/>
    <w:rsid w:val="003E0D68"/>
    <w:rsid w:val="003E0FD8"/>
    <w:rsid w:val="003E3917"/>
    <w:rsid w:val="003E4469"/>
    <w:rsid w:val="003E4BC5"/>
    <w:rsid w:val="003E56DB"/>
    <w:rsid w:val="003E5BC0"/>
    <w:rsid w:val="003E7E2E"/>
    <w:rsid w:val="003F0225"/>
    <w:rsid w:val="003F12EE"/>
    <w:rsid w:val="003F2372"/>
    <w:rsid w:val="003F2B2A"/>
    <w:rsid w:val="003F476F"/>
    <w:rsid w:val="003F4E5F"/>
    <w:rsid w:val="003F59A1"/>
    <w:rsid w:val="003F5E8A"/>
    <w:rsid w:val="003F6D1D"/>
    <w:rsid w:val="004002C1"/>
    <w:rsid w:val="00401638"/>
    <w:rsid w:val="00401FD1"/>
    <w:rsid w:val="00403B6C"/>
    <w:rsid w:val="00404571"/>
    <w:rsid w:val="00406782"/>
    <w:rsid w:val="00406A4E"/>
    <w:rsid w:val="00407B6E"/>
    <w:rsid w:val="00410789"/>
    <w:rsid w:val="00410FD6"/>
    <w:rsid w:val="00411D13"/>
    <w:rsid w:val="00412565"/>
    <w:rsid w:val="004127A4"/>
    <w:rsid w:val="00412BB8"/>
    <w:rsid w:val="00413A05"/>
    <w:rsid w:val="004148F8"/>
    <w:rsid w:val="0041595F"/>
    <w:rsid w:val="00415A2B"/>
    <w:rsid w:val="00415B16"/>
    <w:rsid w:val="00416796"/>
    <w:rsid w:val="00416C1B"/>
    <w:rsid w:val="00416E30"/>
    <w:rsid w:val="00422B22"/>
    <w:rsid w:val="00422ED4"/>
    <w:rsid w:val="00423242"/>
    <w:rsid w:val="0042331F"/>
    <w:rsid w:val="00425136"/>
    <w:rsid w:val="0042580B"/>
    <w:rsid w:val="00426909"/>
    <w:rsid w:val="004271EF"/>
    <w:rsid w:val="00430559"/>
    <w:rsid w:val="00431B60"/>
    <w:rsid w:val="00432085"/>
    <w:rsid w:val="00432138"/>
    <w:rsid w:val="00432546"/>
    <w:rsid w:val="00432DDA"/>
    <w:rsid w:val="00433CAD"/>
    <w:rsid w:val="00433F0A"/>
    <w:rsid w:val="0043404B"/>
    <w:rsid w:val="00436211"/>
    <w:rsid w:val="0044037B"/>
    <w:rsid w:val="004414F7"/>
    <w:rsid w:val="0044204E"/>
    <w:rsid w:val="004422E1"/>
    <w:rsid w:val="00442BEA"/>
    <w:rsid w:val="00443407"/>
    <w:rsid w:val="00443E83"/>
    <w:rsid w:val="00444980"/>
    <w:rsid w:val="004453ED"/>
    <w:rsid w:val="00445B10"/>
    <w:rsid w:val="00445FC8"/>
    <w:rsid w:val="00446F3A"/>
    <w:rsid w:val="004512C8"/>
    <w:rsid w:val="00451491"/>
    <w:rsid w:val="00452A7D"/>
    <w:rsid w:val="0045639A"/>
    <w:rsid w:val="004563B2"/>
    <w:rsid w:val="00456A7A"/>
    <w:rsid w:val="00456F24"/>
    <w:rsid w:val="00456FE6"/>
    <w:rsid w:val="00457450"/>
    <w:rsid w:val="0045784F"/>
    <w:rsid w:val="00462D4A"/>
    <w:rsid w:val="00462E26"/>
    <w:rsid w:val="004634D9"/>
    <w:rsid w:val="004648E5"/>
    <w:rsid w:val="00464EEA"/>
    <w:rsid w:val="00466CDC"/>
    <w:rsid w:val="004670BA"/>
    <w:rsid w:val="004678D3"/>
    <w:rsid w:val="00467E5B"/>
    <w:rsid w:val="0047035B"/>
    <w:rsid w:val="004707C9"/>
    <w:rsid w:val="00470B85"/>
    <w:rsid w:val="00472AA6"/>
    <w:rsid w:val="004730AE"/>
    <w:rsid w:val="004735E9"/>
    <w:rsid w:val="00473DA3"/>
    <w:rsid w:val="004748A5"/>
    <w:rsid w:val="004756FE"/>
    <w:rsid w:val="004757F9"/>
    <w:rsid w:val="00475856"/>
    <w:rsid w:val="0047618E"/>
    <w:rsid w:val="00476FEC"/>
    <w:rsid w:val="00480ADB"/>
    <w:rsid w:val="00480F15"/>
    <w:rsid w:val="004813F7"/>
    <w:rsid w:val="00482441"/>
    <w:rsid w:val="00482F6C"/>
    <w:rsid w:val="00483044"/>
    <w:rsid w:val="004831A7"/>
    <w:rsid w:val="00484300"/>
    <w:rsid w:val="00484A69"/>
    <w:rsid w:val="0048562D"/>
    <w:rsid w:val="004856BC"/>
    <w:rsid w:val="0048664A"/>
    <w:rsid w:val="00486B4A"/>
    <w:rsid w:val="00490890"/>
    <w:rsid w:val="0049102C"/>
    <w:rsid w:val="00491353"/>
    <w:rsid w:val="004918FD"/>
    <w:rsid w:val="00493354"/>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2A6"/>
    <w:rsid w:val="004B2A16"/>
    <w:rsid w:val="004B353B"/>
    <w:rsid w:val="004B3DA6"/>
    <w:rsid w:val="004B4193"/>
    <w:rsid w:val="004B6231"/>
    <w:rsid w:val="004B77ED"/>
    <w:rsid w:val="004C0318"/>
    <w:rsid w:val="004C09C0"/>
    <w:rsid w:val="004C1BB7"/>
    <w:rsid w:val="004C1C0E"/>
    <w:rsid w:val="004C2358"/>
    <w:rsid w:val="004C35BD"/>
    <w:rsid w:val="004C602E"/>
    <w:rsid w:val="004C6C3F"/>
    <w:rsid w:val="004C7F91"/>
    <w:rsid w:val="004D0001"/>
    <w:rsid w:val="004D05A4"/>
    <w:rsid w:val="004D2B5A"/>
    <w:rsid w:val="004D2FAE"/>
    <w:rsid w:val="004D371C"/>
    <w:rsid w:val="004D37D9"/>
    <w:rsid w:val="004D50D0"/>
    <w:rsid w:val="004D53E2"/>
    <w:rsid w:val="004D774B"/>
    <w:rsid w:val="004D7821"/>
    <w:rsid w:val="004E045E"/>
    <w:rsid w:val="004E0D71"/>
    <w:rsid w:val="004E0F4B"/>
    <w:rsid w:val="004E2003"/>
    <w:rsid w:val="004E29B3"/>
    <w:rsid w:val="004E34B5"/>
    <w:rsid w:val="004E4451"/>
    <w:rsid w:val="004E4AB6"/>
    <w:rsid w:val="004E5B19"/>
    <w:rsid w:val="004E6476"/>
    <w:rsid w:val="004E6D38"/>
    <w:rsid w:val="004E7142"/>
    <w:rsid w:val="004F075A"/>
    <w:rsid w:val="004F2856"/>
    <w:rsid w:val="004F2EF7"/>
    <w:rsid w:val="004F4E03"/>
    <w:rsid w:val="004F4E3A"/>
    <w:rsid w:val="004F4E6A"/>
    <w:rsid w:val="004F632C"/>
    <w:rsid w:val="005009EA"/>
    <w:rsid w:val="00501FED"/>
    <w:rsid w:val="0050495F"/>
    <w:rsid w:val="00504D06"/>
    <w:rsid w:val="00505A67"/>
    <w:rsid w:val="00505CF1"/>
    <w:rsid w:val="00506344"/>
    <w:rsid w:val="005063E2"/>
    <w:rsid w:val="005075C4"/>
    <w:rsid w:val="00511739"/>
    <w:rsid w:val="00511CF8"/>
    <w:rsid w:val="005124CF"/>
    <w:rsid w:val="005154E5"/>
    <w:rsid w:val="00516A23"/>
    <w:rsid w:val="00517738"/>
    <w:rsid w:val="005177EA"/>
    <w:rsid w:val="00517C76"/>
    <w:rsid w:val="00521D36"/>
    <w:rsid w:val="00523D39"/>
    <w:rsid w:val="00525073"/>
    <w:rsid w:val="0052522F"/>
    <w:rsid w:val="00526832"/>
    <w:rsid w:val="00527BE2"/>
    <w:rsid w:val="00527C67"/>
    <w:rsid w:val="0053213C"/>
    <w:rsid w:val="0053403E"/>
    <w:rsid w:val="0053488A"/>
    <w:rsid w:val="00534AB0"/>
    <w:rsid w:val="005350D9"/>
    <w:rsid w:val="005355AE"/>
    <w:rsid w:val="005367DB"/>
    <w:rsid w:val="00540C25"/>
    <w:rsid w:val="005425FC"/>
    <w:rsid w:val="00544048"/>
    <w:rsid w:val="0054409A"/>
    <w:rsid w:val="00544351"/>
    <w:rsid w:val="00546BFA"/>
    <w:rsid w:val="00551AAD"/>
    <w:rsid w:val="00551B58"/>
    <w:rsid w:val="00552ABE"/>
    <w:rsid w:val="00553517"/>
    <w:rsid w:val="005537DE"/>
    <w:rsid w:val="00554226"/>
    <w:rsid w:val="00554E1D"/>
    <w:rsid w:val="005550A0"/>
    <w:rsid w:val="0055528E"/>
    <w:rsid w:val="00555808"/>
    <w:rsid w:val="00555C9A"/>
    <w:rsid w:val="00556588"/>
    <w:rsid w:val="005569D4"/>
    <w:rsid w:val="0056204C"/>
    <w:rsid w:val="005633B2"/>
    <w:rsid w:val="005645AA"/>
    <w:rsid w:val="00564F93"/>
    <w:rsid w:val="00565A09"/>
    <w:rsid w:val="00566C60"/>
    <w:rsid w:val="005679AD"/>
    <w:rsid w:val="00567AB2"/>
    <w:rsid w:val="00567E6D"/>
    <w:rsid w:val="005702E8"/>
    <w:rsid w:val="00571EB6"/>
    <w:rsid w:val="00572219"/>
    <w:rsid w:val="0057299E"/>
    <w:rsid w:val="005735B2"/>
    <w:rsid w:val="00574F8A"/>
    <w:rsid w:val="00575EF9"/>
    <w:rsid w:val="00575FE2"/>
    <w:rsid w:val="00576613"/>
    <w:rsid w:val="005768CC"/>
    <w:rsid w:val="00576B02"/>
    <w:rsid w:val="00576BF2"/>
    <w:rsid w:val="0058062E"/>
    <w:rsid w:val="005813FC"/>
    <w:rsid w:val="00582583"/>
    <w:rsid w:val="00582E9D"/>
    <w:rsid w:val="0058347D"/>
    <w:rsid w:val="00584AFF"/>
    <w:rsid w:val="005855AE"/>
    <w:rsid w:val="00585E8F"/>
    <w:rsid w:val="00586EDE"/>
    <w:rsid w:val="00586EE6"/>
    <w:rsid w:val="00587AC1"/>
    <w:rsid w:val="00587BF5"/>
    <w:rsid w:val="00590FF3"/>
    <w:rsid w:val="00591049"/>
    <w:rsid w:val="005924E6"/>
    <w:rsid w:val="0059296C"/>
    <w:rsid w:val="005935FE"/>
    <w:rsid w:val="00593B26"/>
    <w:rsid w:val="005941BF"/>
    <w:rsid w:val="00594305"/>
    <w:rsid w:val="00594E98"/>
    <w:rsid w:val="00594FC3"/>
    <w:rsid w:val="00595909"/>
    <w:rsid w:val="00595EB6"/>
    <w:rsid w:val="0059637C"/>
    <w:rsid w:val="005A107E"/>
    <w:rsid w:val="005A1A77"/>
    <w:rsid w:val="005A1AB2"/>
    <w:rsid w:val="005A36D7"/>
    <w:rsid w:val="005A64F6"/>
    <w:rsid w:val="005A7AE0"/>
    <w:rsid w:val="005B030E"/>
    <w:rsid w:val="005B0E4B"/>
    <w:rsid w:val="005B0E89"/>
    <w:rsid w:val="005B1B9C"/>
    <w:rsid w:val="005B23DB"/>
    <w:rsid w:val="005B2CD4"/>
    <w:rsid w:val="005B3681"/>
    <w:rsid w:val="005B4012"/>
    <w:rsid w:val="005B43AD"/>
    <w:rsid w:val="005B52D5"/>
    <w:rsid w:val="005B5388"/>
    <w:rsid w:val="005B7211"/>
    <w:rsid w:val="005C14B2"/>
    <w:rsid w:val="005C176B"/>
    <w:rsid w:val="005C31F3"/>
    <w:rsid w:val="005C361D"/>
    <w:rsid w:val="005C3DA5"/>
    <w:rsid w:val="005C447E"/>
    <w:rsid w:val="005C49FE"/>
    <w:rsid w:val="005C5515"/>
    <w:rsid w:val="005C771F"/>
    <w:rsid w:val="005C79A7"/>
    <w:rsid w:val="005D06DD"/>
    <w:rsid w:val="005D1A43"/>
    <w:rsid w:val="005D1DDF"/>
    <w:rsid w:val="005D714F"/>
    <w:rsid w:val="005D765C"/>
    <w:rsid w:val="005D77DF"/>
    <w:rsid w:val="005D78D1"/>
    <w:rsid w:val="005E0AF7"/>
    <w:rsid w:val="005E0E89"/>
    <w:rsid w:val="005E2129"/>
    <w:rsid w:val="005E2FE8"/>
    <w:rsid w:val="005E3384"/>
    <w:rsid w:val="005E3F3E"/>
    <w:rsid w:val="005E3FAF"/>
    <w:rsid w:val="005E4D94"/>
    <w:rsid w:val="005E7F1C"/>
    <w:rsid w:val="005F01D9"/>
    <w:rsid w:val="005F2796"/>
    <w:rsid w:val="005F2D78"/>
    <w:rsid w:val="005F304E"/>
    <w:rsid w:val="005F4EF1"/>
    <w:rsid w:val="005F4EFC"/>
    <w:rsid w:val="005F5640"/>
    <w:rsid w:val="005F6171"/>
    <w:rsid w:val="005F7336"/>
    <w:rsid w:val="005F7990"/>
    <w:rsid w:val="005F7C32"/>
    <w:rsid w:val="00601AEE"/>
    <w:rsid w:val="006024AB"/>
    <w:rsid w:val="006049EC"/>
    <w:rsid w:val="00606B42"/>
    <w:rsid w:val="00606B8C"/>
    <w:rsid w:val="00607B3F"/>
    <w:rsid w:val="00610224"/>
    <w:rsid w:val="00610419"/>
    <w:rsid w:val="0061052B"/>
    <w:rsid w:val="006117CE"/>
    <w:rsid w:val="0061189B"/>
    <w:rsid w:val="00611EEE"/>
    <w:rsid w:val="00612373"/>
    <w:rsid w:val="00613371"/>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EB"/>
    <w:rsid w:val="0062703C"/>
    <w:rsid w:val="006275AA"/>
    <w:rsid w:val="00631146"/>
    <w:rsid w:val="00631FFA"/>
    <w:rsid w:val="00634B1D"/>
    <w:rsid w:val="006353D8"/>
    <w:rsid w:val="00636372"/>
    <w:rsid w:val="006369F5"/>
    <w:rsid w:val="00637E34"/>
    <w:rsid w:val="006400EF"/>
    <w:rsid w:val="00640C9E"/>
    <w:rsid w:val="00640E01"/>
    <w:rsid w:val="00640FC0"/>
    <w:rsid w:val="00641C93"/>
    <w:rsid w:val="00642FD9"/>
    <w:rsid w:val="00643053"/>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B4C"/>
    <w:rsid w:val="0066022F"/>
    <w:rsid w:val="00660332"/>
    <w:rsid w:val="0066093C"/>
    <w:rsid w:val="0066095C"/>
    <w:rsid w:val="00662C3F"/>
    <w:rsid w:val="006631DA"/>
    <w:rsid w:val="00663278"/>
    <w:rsid w:val="006635D1"/>
    <w:rsid w:val="006637B3"/>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7696"/>
    <w:rsid w:val="0067776D"/>
    <w:rsid w:val="00680191"/>
    <w:rsid w:val="00680F35"/>
    <w:rsid w:val="006812CB"/>
    <w:rsid w:val="00681C8C"/>
    <w:rsid w:val="0068243F"/>
    <w:rsid w:val="00683589"/>
    <w:rsid w:val="00683A38"/>
    <w:rsid w:val="00685C1D"/>
    <w:rsid w:val="00686ECD"/>
    <w:rsid w:val="00687663"/>
    <w:rsid w:val="00687CBB"/>
    <w:rsid w:val="00690DE5"/>
    <w:rsid w:val="00690E75"/>
    <w:rsid w:val="0069107E"/>
    <w:rsid w:val="006912AB"/>
    <w:rsid w:val="0069284B"/>
    <w:rsid w:val="00696872"/>
    <w:rsid w:val="00696BD3"/>
    <w:rsid w:val="006A0332"/>
    <w:rsid w:val="006A0687"/>
    <w:rsid w:val="006A1CBB"/>
    <w:rsid w:val="006A1D4C"/>
    <w:rsid w:val="006A2938"/>
    <w:rsid w:val="006A2A41"/>
    <w:rsid w:val="006A37F9"/>
    <w:rsid w:val="006A3A5B"/>
    <w:rsid w:val="006A3E40"/>
    <w:rsid w:val="006A5297"/>
    <w:rsid w:val="006A5983"/>
    <w:rsid w:val="006A6056"/>
    <w:rsid w:val="006A72DD"/>
    <w:rsid w:val="006A7719"/>
    <w:rsid w:val="006B0914"/>
    <w:rsid w:val="006B0CB0"/>
    <w:rsid w:val="006B2BBC"/>
    <w:rsid w:val="006B34A3"/>
    <w:rsid w:val="006B402B"/>
    <w:rsid w:val="006B42D1"/>
    <w:rsid w:val="006B52BB"/>
    <w:rsid w:val="006B5E40"/>
    <w:rsid w:val="006B678E"/>
    <w:rsid w:val="006B684D"/>
    <w:rsid w:val="006B7E9A"/>
    <w:rsid w:val="006C10DA"/>
    <w:rsid w:val="006C2387"/>
    <w:rsid w:val="006C36C2"/>
    <w:rsid w:val="006C585A"/>
    <w:rsid w:val="006C6213"/>
    <w:rsid w:val="006C65B9"/>
    <w:rsid w:val="006C6C44"/>
    <w:rsid w:val="006C7961"/>
    <w:rsid w:val="006D1279"/>
    <w:rsid w:val="006D210F"/>
    <w:rsid w:val="006D2A94"/>
    <w:rsid w:val="006D3640"/>
    <w:rsid w:val="006D366D"/>
    <w:rsid w:val="006D3E0D"/>
    <w:rsid w:val="006D3FE7"/>
    <w:rsid w:val="006D4CBB"/>
    <w:rsid w:val="006D6265"/>
    <w:rsid w:val="006D7E39"/>
    <w:rsid w:val="006E0400"/>
    <w:rsid w:val="006E22A9"/>
    <w:rsid w:val="006E35BD"/>
    <w:rsid w:val="006E3745"/>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7007B4"/>
    <w:rsid w:val="00700896"/>
    <w:rsid w:val="00700B30"/>
    <w:rsid w:val="00700DB7"/>
    <w:rsid w:val="00701690"/>
    <w:rsid w:val="0070361F"/>
    <w:rsid w:val="0070368B"/>
    <w:rsid w:val="00704FEA"/>
    <w:rsid w:val="00705E41"/>
    <w:rsid w:val="00706888"/>
    <w:rsid w:val="007069BB"/>
    <w:rsid w:val="00707BC5"/>
    <w:rsid w:val="00711FF0"/>
    <w:rsid w:val="00712141"/>
    <w:rsid w:val="0071303F"/>
    <w:rsid w:val="007144F4"/>
    <w:rsid w:val="007164B9"/>
    <w:rsid w:val="007164FB"/>
    <w:rsid w:val="00717FD5"/>
    <w:rsid w:val="007217C1"/>
    <w:rsid w:val="00721D23"/>
    <w:rsid w:val="00721FD5"/>
    <w:rsid w:val="00722592"/>
    <w:rsid w:val="007232DB"/>
    <w:rsid w:val="0072376D"/>
    <w:rsid w:val="0072529B"/>
    <w:rsid w:val="007256FC"/>
    <w:rsid w:val="00725E29"/>
    <w:rsid w:val="007260CA"/>
    <w:rsid w:val="00727DED"/>
    <w:rsid w:val="007303B8"/>
    <w:rsid w:val="007310BE"/>
    <w:rsid w:val="00733008"/>
    <w:rsid w:val="007332DE"/>
    <w:rsid w:val="00733AD5"/>
    <w:rsid w:val="007341A2"/>
    <w:rsid w:val="00734E28"/>
    <w:rsid w:val="007371CB"/>
    <w:rsid w:val="00737AE4"/>
    <w:rsid w:val="007409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E60"/>
    <w:rsid w:val="0076159F"/>
    <w:rsid w:val="007631BA"/>
    <w:rsid w:val="007632D9"/>
    <w:rsid w:val="0076434A"/>
    <w:rsid w:val="00764594"/>
    <w:rsid w:val="00764816"/>
    <w:rsid w:val="00764F3C"/>
    <w:rsid w:val="00765704"/>
    <w:rsid w:val="00766989"/>
    <w:rsid w:val="00766BBE"/>
    <w:rsid w:val="00766D7E"/>
    <w:rsid w:val="00767A55"/>
    <w:rsid w:val="0077011D"/>
    <w:rsid w:val="00770632"/>
    <w:rsid w:val="00770B22"/>
    <w:rsid w:val="00770D7D"/>
    <w:rsid w:val="00771494"/>
    <w:rsid w:val="0077276C"/>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12"/>
    <w:rsid w:val="00790C68"/>
    <w:rsid w:val="007916DF"/>
    <w:rsid w:val="0079195B"/>
    <w:rsid w:val="007919A3"/>
    <w:rsid w:val="00791C06"/>
    <w:rsid w:val="0079556B"/>
    <w:rsid w:val="007959AF"/>
    <w:rsid w:val="00796335"/>
    <w:rsid w:val="007963A1"/>
    <w:rsid w:val="007A00C5"/>
    <w:rsid w:val="007A0E2B"/>
    <w:rsid w:val="007A1B95"/>
    <w:rsid w:val="007A243D"/>
    <w:rsid w:val="007A2700"/>
    <w:rsid w:val="007A3691"/>
    <w:rsid w:val="007A46C8"/>
    <w:rsid w:val="007A493E"/>
    <w:rsid w:val="007A4D7E"/>
    <w:rsid w:val="007A61AE"/>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B78FF"/>
    <w:rsid w:val="007C0A63"/>
    <w:rsid w:val="007C16F6"/>
    <w:rsid w:val="007C1885"/>
    <w:rsid w:val="007C1B38"/>
    <w:rsid w:val="007C1BA0"/>
    <w:rsid w:val="007C1C0A"/>
    <w:rsid w:val="007C2446"/>
    <w:rsid w:val="007C3278"/>
    <w:rsid w:val="007C3A3B"/>
    <w:rsid w:val="007C41E1"/>
    <w:rsid w:val="007C4A27"/>
    <w:rsid w:val="007C63C4"/>
    <w:rsid w:val="007C67A8"/>
    <w:rsid w:val="007C69B1"/>
    <w:rsid w:val="007C6A57"/>
    <w:rsid w:val="007C7D67"/>
    <w:rsid w:val="007D05ED"/>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486"/>
    <w:rsid w:val="007F3591"/>
    <w:rsid w:val="007F4CA2"/>
    <w:rsid w:val="007F7679"/>
    <w:rsid w:val="007F796B"/>
    <w:rsid w:val="00802B46"/>
    <w:rsid w:val="0080486D"/>
    <w:rsid w:val="00805493"/>
    <w:rsid w:val="00805AA8"/>
    <w:rsid w:val="00806C2A"/>
    <w:rsid w:val="008073F7"/>
    <w:rsid w:val="0081097F"/>
    <w:rsid w:val="00810D07"/>
    <w:rsid w:val="00812A0E"/>
    <w:rsid w:val="008139E1"/>
    <w:rsid w:val="008149ED"/>
    <w:rsid w:val="00816F46"/>
    <w:rsid w:val="00817D98"/>
    <w:rsid w:val="008203D2"/>
    <w:rsid w:val="00820AB7"/>
    <w:rsid w:val="00820CE1"/>
    <w:rsid w:val="00820E34"/>
    <w:rsid w:val="0082111A"/>
    <w:rsid w:val="00821D6E"/>
    <w:rsid w:val="008221B8"/>
    <w:rsid w:val="008226C2"/>
    <w:rsid w:val="0082278E"/>
    <w:rsid w:val="00823B00"/>
    <w:rsid w:val="00823BB0"/>
    <w:rsid w:val="00824FE2"/>
    <w:rsid w:val="008251D5"/>
    <w:rsid w:val="00825544"/>
    <w:rsid w:val="00826C16"/>
    <w:rsid w:val="00827CC4"/>
    <w:rsid w:val="00827E2E"/>
    <w:rsid w:val="00830245"/>
    <w:rsid w:val="0083061C"/>
    <w:rsid w:val="00830995"/>
    <w:rsid w:val="008310EE"/>
    <w:rsid w:val="00831676"/>
    <w:rsid w:val="008319C7"/>
    <w:rsid w:val="00831D4E"/>
    <w:rsid w:val="008322B8"/>
    <w:rsid w:val="00832878"/>
    <w:rsid w:val="00832B54"/>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517AE"/>
    <w:rsid w:val="00851896"/>
    <w:rsid w:val="0085205A"/>
    <w:rsid w:val="00852839"/>
    <w:rsid w:val="00854165"/>
    <w:rsid w:val="008565DA"/>
    <w:rsid w:val="00856BE7"/>
    <w:rsid w:val="00856D10"/>
    <w:rsid w:val="00857730"/>
    <w:rsid w:val="00857C9F"/>
    <w:rsid w:val="00860505"/>
    <w:rsid w:val="00860B75"/>
    <w:rsid w:val="00861602"/>
    <w:rsid w:val="0086162E"/>
    <w:rsid w:val="0086293C"/>
    <w:rsid w:val="00862B68"/>
    <w:rsid w:val="0086411B"/>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0264"/>
    <w:rsid w:val="0088169C"/>
    <w:rsid w:val="008820DC"/>
    <w:rsid w:val="00882B46"/>
    <w:rsid w:val="00882DAB"/>
    <w:rsid w:val="008836A5"/>
    <w:rsid w:val="008837D6"/>
    <w:rsid w:val="00883CFD"/>
    <w:rsid w:val="00883F82"/>
    <w:rsid w:val="00884609"/>
    <w:rsid w:val="00885D0A"/>
    <w:rsid w:val="0088730E"/>
    <w:rsid w:val="00891775"/>
    <w:rsid w:val="00891951"/>
    <w:rsid w:val="0089281F"/>
    <w:rsid w:val="0089368F"/>
    <w:rsid w:val="00893A2C"/>
    <w:rsid w:val="00894496"/>
    <w:rsid w:val="00894DA4"/>
    <w:rsid w:val="00895441"/>
    <w:rsid w:val="00895701"/>
    <w:rsid w:val="00897AE2"/>
    <w:rsid w:val="008A1198"/>
    <w:rsid w:val="008A16C7"/>
    <w:rsid w:val="008A1FC1"/>
    <w:rsid w:val="008A2069"/>
    <w:rsid w:val="008A31AB"/>
    <w:rsid w:val="008A3431"/>
    <w:rsid w:val="008A37BF"/>
    <w:rsid w:val="008A4020"/>
    <w:rsid w:val="008A4F49"/>
    <w:rsid w:val="008A64E8"/>
    <w:rsid w:val="008B07E0"/>
    <w:rsid w:val="008B0970"/>
    <w:rsid w:val="008B11F2"/>
    <w:rsid w:val="008B26A0"/>
    <w:rsid w:val="008B5BED"/>
    <w:rsid w:val="008B7C55"/>
    <w:rsid w:val="008C04A2"/>
    <w:rsid w:val="008C0F4D"/>
    <w:rsid w:val="008C0F68"/>
    <w:rsid w:val="008C3E5F"/>
    <w:rsid w:val="008C48DA"/>
    <w:rsid w:val="008C5684"/>
    <w:rsid w:val="008C56D3"/>
    <w:rsid w:val="008C5B2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3D9E"/>
    <w:rsid w:val="008D6215"/>
    <w:rsid w:val="008D68CB"/>
    <w:rsid w:val="008E0C57"/>
    <w:rsid w:val="008E3524"/>
    <w:rsid w:val="008E3E59"/>
    <w:rsid w:val="008E403C"/>
    <w:rsid w:val="008E4445"/>
    <w:rsid w:val="008E46EB"/>
    <w:rsid w:val="008E480A"/>
    <w:rsid w:val="008E4D43"/>
    <w:rsid w:val="008E4E57"/>
    <w:rsid w:val="008E525D"/>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90014D"/>
    <w:rsid w:val="00900F59"/>
    <w:rsid w:val="009010D0"/>
    <w:rsid w:val="00901232"/>
    <w:rsid w:val="00902C71"/>
    <w:rsid w:val="00903E3C"/>
    <w:rsid w:val="00905624"/>
    <w:rsid w:val="0090597F"/>
    <w:rsid w:val="0090626C"/>
    <w:rsid w:val="00910614"/>
    <w:rsid w:val="009127E4"/>
    <w:rsid w:val="00912A4E"/>
    <w:rsid w:val="00912D37"/>
    <w:rsid w:val="009144A2"/>
    <w:rsid w:val="009144B7"/>
    <w:rsid w:val="00915305"/>
    <w:rsid w:val="0091584A"/>
    <w:rsid w:val="00915BDF"/>
    <w:rsid w:val="009161FE"/>
    <w:rsid w:val="00917804"/>
    <w:rsid w:val="00920BFE"/>
    <w:rsid w:val="009220AD"/>
    <w:rsid w:val="00923EAB"/>
    <w:rsid w:val="00924F1A"/>
    <w:rsid w:val="00924FA4"/>
    <w:rsid w:val="00925447"/>
    <w:rsid w:val="00925476"/>
    <w:rsid w:val="00925D10"/>
    <w:rsid w:val="00925FAE"/>
    <w:rsid w:val="009275E5"/>
    <w:rsid w:val="00930871"/>
    <w:rsid w:val="0093094B"/>
    <w:rsid w:val="009312AE"/>
    <w:rsid w:val="00932605"/>
    <w:rsid w:val="00933362"/>
    <w:rsid w:val="009343FB"/>
    <w:rsid w:val="0093537D"/>
    <w:rsid w:val="00935F67"/>
    <w:rsid w:val="00935FDB"/>
    <w:rsid w:val="0093693A"/>
    <w:rsid w:val="00936971"/>
    <w:rsid w:val="0093721F"/>
    <w:rsid w:val="00937477"/>
    <w:rsid w:val="0093755A"/>
    <w:rsid w:val="00937A22"/>
    <w:rsid w:val="00940C90"/>
    <w:rsid w:val="00940D13"/>
    <w:rsid w:val="00940D14"/>
    <w:rsid w:val="00941542"/>
    <w:rsid w:val="0094338D"/>
    <w:rsid w:val="0094342A"/>
    <w:rsid w:val="00943A2C"/>
    <w:rsid w:val="00944753"/>
    <w:rsid w:val="00944A1B"/>
    <w:rsid w:val="009455EA"/>
    <w:rsid w:val="00945690"/>
    <w:rsid w:val="00946776"/>
    <w:rsid w:val="009522B8"/>
    <w:rsid w:val="00952F8E"/>
    <w:rsid w:val="00952FF8"/>
    <w:rsid w:val="0095359D"/>
    <w:rsid w:val="009544FD"/>
    <w:rsid w:val="009551A5"/>
    <w:rsid w:val="009565C1"/>
    <w:rsid w:val="00957145"/>
    <w:rsid w:val="009579E5"/>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6FE6"/>
    <w:rsid w:val="009671F5"/>
    <w:rsid w:val="009677B5"/>
    <w:rsid w:val="00967A48"/>
    <w:rsid w:val="00967B4F"/>
    <w:rsid w:val="00971B4F"/>
    <w:rsid w:val="00972DD6"/>
    <w:rsid w:val="00972E2F"/>
    <w:rsid w:val="009730AD"/>
    <w:rsid w:val="009738C6"/>
    <w:rsid w:val="00974996"/>
    <w:rsid w:val="00975EC0"/>
    <w:rsid w:val="009766D9"/>
    <w:rsid w:val="00976D3F"/>
    <w:rsid w:val="009778FB"/>
    <w:rsid w:val="00980A97"/>
    <w:rsid w:val="00981222"/>
    <w:rsid w:val="00982557"/>
    <w:rsid w:val="0098264B"/>
    <w:rsid w:val="00983BC1"/>
    <w:rsid w:val="0098484C"/>
    <w:rsid w:val="00984B39"/>
    <w:rsid w:val="00986157"/>
    <w:rsid w:val="00990553"/>
    <w:rsid w:val="009907C1"/>
    <w:rsid w:val="00990BB8"/>
    <w:rsid w:val="009917F0"/>
    <w:rsid w:val="00991A87"/>
    <w:rsid w:val="00991F30"/>
    <w:rsid w:val="009931FA"/>
    <w:rsid w:val="009954CC"/>
    <w:rsid w:val="0099578F"/>
    <w:rsid w:val="00995EC0"/>
    <w:rsid w:val="00997F69"/>
    <w:rsid w:val="009A0002"/>
    <w:rsid w:val="009A0286"/>
    <w:rsid w:val="009A17CF"/>
    <w:rsid w:val="009A2369"/>
    <w:rsid w:val="009A326B"/>
    <w:rsid w:val="009A441F"/>
    <w:rsid w:val="009A4E30"/>
    <w:rsid w:val="009A551C"/>
    <w:rsid w:val="009A5FAA"/>
    <w:rsid w:val="009A657A"/>
    <w:rsid w:val="009A674D"/>
    <w:rsid w:val="009A7387"/>
    <w:rsid w:val="009A7452"/>
    <w:rsid w:val="009A78B3"/>
    <w:rsid w:val="009B0912"/>
    <w:rsid w:val="009B2B5C"/>
    <w:rsid w:val="009B3011"/>
    <w:rsid w:val="009B3F6C"/>
    <w:rsid w:val="009B4213"/>
    <w:rsid w:val="009B51B7"/>
    <w:rsid w:val="009B5ABC"/>
    <w:rsid w:val="009B6834"/>
    <w:rsid w:val="009B78B7"/>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34F6"/>
    <w:rsid w:val="009D3705"/>
    <w:rsid w:val="009D3DCE"/>
    <w:rsid w:val="009D549E"/>
    <w:rsid w:val="009D62E0"/>
    <w:rsid w:val="009E12CA"/>
    <w:rsid w:val="009E1DFA"/>
    <w:rsid w:val="009E1FEE"/>
    <w:rsid w:val="009E21A7"/>
    <w:rsid w:val="009E2692"/>
    <w:rsid w:val="009E2A91"/>
    <w:rsid w:val="009E2FCF"/>
    <w:rsid w:val="009E30FF"/>
    <w:rsid w:val="009E32E7"/>
    <w:rsid w:val="009E3676"/>
    <w:rsid w:val="009E3C29"/>
    <w:rsid w:val="009E5BFB"/>
    <w:rsid w:val="009E6997"/>
    <w:rsid w:val="009E6BD6"/>
    <w:rsid w:val="009E7151"/>
    <w:rsid w:val="009E7DBD"/>
    <w:rsid w:val="009F4DE8"/>
    <w:rsid w:val="009F52B4"/>
    <w:rsid w:val="009F5BAE"/>
    <w:rsid w:val="009F6A95"/>
    <w:rsid w:val="00A00825"/>
    <w:rsid w:val="00A00BFC"/>
    <w:rsid w:val="00A01204"/>
    <w:rsid w:val="00A01C86"/>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1BAC"/>
    <w:rsid w:val="00A21D8A"/>
    <w:rsid w:val="00A23BA5"/>
    <w:rsid w:val="00A25D1C"/>
    <w:rsid w:val="00A26337"/>
    <w:rsid w:val="00A26F75"/>
    <w:rsid w:val="00A272F4"/>
    <w:rsid w:val="00A300E1"/>
    <w:rsid w:val="00A307AE"/>
    <w:rsid w:val="00A31A66"/>
    <w:rsid w:val="00A31C9B"/>
    <w:rsid w:val="00A322E7"/>
    <w:rsid w:val="00A322EF"/>
    <w:rsid w:val="00A32C23"/>
    <w:rsid w:val="00A335C8"/>
    <w:rsid w:val="00A34CCD"/>
    <w:rsid w:val="00A34E90"/>
    <w:rsid w:val="00A354EB"/>
    <w:rsid w:val="00A376C8"/>
    <w:rsid w:val="00A378F3"/>
    <w:rsid w:val="00A40506"/>
    <w:rsid w:val="00A42819"/>
    <w:rsid w:val="00A43770"/>
    <w:rsid w:val="00A475F1"/>
    <w:rsid w:val="00A47AAA"/>
    <w:rsid w:val="00A47F23"/>
    <w:rsid w:val="00A51176"/>
    <w:rsid w:val="00A51228"/>
    <w:rsid w:val="00A5130D"/>
    <w:rsid w:val="00A51AA8"/>
    <w:rsid w:val="00A51FC0"/>
    <w:rsid w:val="00A5248A"/>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1A6C"/>
    <w:rsid w:val="00A72ACD"/>
    <w:rsid w:val="00A72C3A"/>
    <w:rsid w:val="00A72FB9"/>
    <w:rsid w:val="00A741DC"/>
    <w:rsid w:val="00A7426E"/>
    <w:rsid w:val="00A74D00"/>
    <w:rsid w:val="00A76F43"/>
    <w:rsid w:val="00A80907"/>
    <w:rsid w:val="00A81210"/>
    <w:rsid w:val="00A81B04"/>
    <w:rsid w:val="00A8279C"/>
    <w:rsid w:val="00A82ACC"/>
    <w:rsid w:val="00A8323A"/>
    <w:rsid w:val="00A83667"/>
    <w:rsid w:val="00A83961"/>
    <w:rsid w:val="00A86D2B"/>
    <w:rsid w:val="00A879E4"/>
    <w:rsid w:val="00A87B0B"/>
    <w:rsid w:val="00A87BCF"/>
    <w:rsid w:val="00A87F55"/>
    <w:rsid w:val="00A901D2"/>
    <w:rsid w:val="00A912BF"/>
    <w:rsid w:val="00A92905"/>
    <w:rsid w:val="00A93088"/>
    <w:rsid w:val="00A9318A"/>
    <w:rsid w:val="00A94393"/>
    <w:rsid w:val="00A94ECB"/>
    <w:rsid w:val="00A95E83"/>
    <w:rsid w:val="00A961F2"/>
    <w:rsid w:val="00A96474"/>
    <w:rsid w:val="00A96861"/>
    <w:rsid w:val="00A9736E"/>
    <w:rsid w:val="00A97BFD"/>
    <w:rsid w:val="00AA037D"/>
    <w:rsid w:val="00AA149D"/>
    <w:rsid w:val="00AA3A50"/>
    <w:rsid w:val="00AA3CEE"/>
    <w:rsid w:val="00AA5DCF"/>
    <w:rsid w:val="00AA6242"/>
    <w:rsid w:val="00AB021E"/>
    <w:rsid w:val="00AB0EC7"/>
    <w:rsid w:val="00AB1FF0"/>
    <w:rsid w:val="00AB29D7"/>
    <w:rsid w:val="00AB2B4D"/>
    <w:rsid w:val="00AB33DD"/>
    <w:rsid w:val="00AB3C91"/>
    <w:rsid w:val="00AB47D5"/>
    <w:rsid w:val="00AB47DB"/>
    <w:rsid w:val="00AB49AD"/>
    <w:rsid w:val="00AB6040"/>
    <w:rsid w:val="00AB6417"/>
    <w:rsid w:val="00AB6EC4"/>
    <w:rsid w:val="00AB703A"/>
    <w:rsid w:val="00AC06CA"/>
    <w:rsid w:val="00AC23E1"/>
    <w:rsid w:val="00AC2503"/>
    <w:rsid w:val="00AC39E0"/>
    <w:rsid w:val="00AC47BB"/>
    <w:rsid w:val="00AD083B"/>
    <w:rsid w:val="00AD384E"/>
    <w:rsid w:val="00AD387D"/>
    <w:rsid w:val="00AD4150"/>
    <w:rsid w:val="00AD4AE4"/>
    <w:rsid w:val="00AD5CCB"/>
    <w:rsid w:val="00AD644C"/>
    <w:rsid w:val="00AD6B03"/>
    <w:rsid w:val="00AD75A8"/>
    <w:rsid w:val="00AD7ED1"/>
    <w:rsid w:val="00AE165D"/>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7369"/>
    <w:rsid w:val="00B005D1"/>
    <w:rsid w:val="00B010DC"/>
    <w:rsid w:val="00B02A28"/>
    <w:rsid w:val="00B04492"/>
    <w:rsid w:val="00B04DDC"/>
    <w:rsid w:val="00B1012C"/>
    <w:rsid w:val="00B106B3"/>
    <w:rsid w:val="00B1150A"/>
    <w:rsid w:val="00B136A1"/>
    <w:rsid w:val="00B1562F"/>
    <w:rsid w:val="00B157F1"/>
    <w:rsid w:val="00B15AFB"/>
    <w:rsid w:val="00B16869"/>
    <w:rsid w:val="00B21660"/>
    <w:rsid w:val="00B21F0D"/>
    <w:rsid w:val="00B2418F"/>
    <w:rsid w:val="00B25152"/>
    <w:rsid w:val="00B25D7F"/>
    <w:rsid w:val="00B25DA1"/>
    <w:rsid w:val="00B30F2C"/>
    <w:rsid w:val="00B31AEC"/>
    <w:rsid w:val="00B31F9B"/>
    <w:rsid w:val="00B32B74"/>
    <w:rsid w:val="00B33937"/>
    <w:rsid w:val="00B34162"/>
    <w:rsid w:val="00B363E3"/>
    <w:rsid w:val="00B370B3"/>
    <w:rsid w:val="00B37873"/>
    <w:rsid w:val="00B378C8"/>
    <w:rsid w:val="00B4020C"/>
    <w:rsid w:val="00B4088F"/>
    <w:rsid w:val="00B40EC6"/>
    <w:rsid w:val="00B4168A"/>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4CB4"/>
    <w:rsid w:val="00B6690F"/>
    <w:rsid w:val="00B67720"/>
    <w:rsid w:val="00B67B40"/>
    <w:rsid w:val="00B67BCA"/>
    <w:rsid w:val="00B72031"/>
    <w:rsid w:val="00B7293A"/>
    <w:rsid w:val="00B72FA8"/>
    <w:rsid w:val="00B7536B"/>
    <w:rsid w:val="00B763A1"/>
    <w:rsid w:val="00B76F64"/>
    <w:rsid w:val="00B7777C"/>
    <w:rsid w:val="00B77A5C"/>
    <w:rsid w:val="00B77F72"/>
    <w:rsid w:val="00B81367"/>
    <w:rsid w:val="00B826EB"/>
    <w:rsid w:val="00B84751"/>
    <w:rsid w:val="00B84775"/>
    <w:rsid w:val="00B8494A"/>
    <w:rsid w:val="00B85146"/>
    <w:rsid w:val="00B870C1"/>
    <w:rsid w:val="00B87AFB"/>
    <w:rsid w:val="00B9069B"/>
    <w:rsid w:val="00B91AA1"/>
    <w:rsid w:val="00B91D9C"/>
    <w:rsid w:val="00B92647"/>
    <w:rsid w:val="00B93A30"/>
    <w:rsid w:val="00B93EA0"/>
    <w:rsid w:val="00B94815"/>
    <w:rsid w:val="00B94AB3"/>
    <w:rsid w:val="00B95853"/>
    <w:rsid w:val="00B9689A"/>
    <w:rsid w:val="00B973CD"/>
    <w:rsid w:val="00BA1F9E"/>
    <w:rsid w:val="00BA2005"/>
    <w:rsid w:val="00BA2339"/>
    <w:rsid w:val="00BA28A7"/>
    <w:rsid w:val="00BA3266"/>
    <w:rsid w:val="00BA3AA3"/>
    <w:rsid w:val="00BA50C6"/>
    <w:rsid w:val="00BA5CCF"/>
    <w:rsid w:val="00BA60DC"/>
    <w:rsid w:val="00BA6B34"/>
    <w:rsid w:val="00BB04EE"/>
    <w:rsid w:val="00BB3D0E"/>
    <w:rsid w:val="00BB403C"/>
    <w:rsid w:val="00BB4E1C"/>
    <w:rsid w:val="00BB50E7"/>
    <w:rsid w:val="00BB5C5F"/>
    <w:rsid w:val="00BB5E46"/>
    <w:rsid w:val="00BB73B5"/>
    <w:rsid w:val="00BC019C"/>
    <w:rsid w:val="00BC088D"/>
    <w:rsid w:val="00BC13BE"/>
    <w:rsid w:val="00BC18BD"/>
    <w:rsid w:val="00BC1FCD"/>
    <w:rsid w:val="00BC2021"/>
    <w:rsid w:val="00BC2F53"/>
    <w:rsid w:val="00BC36E9"/>
    <w:rsid w:val="00BC3715"/>
    <w:rsid w:val="00BC417B"/>
    <w:rsid w:val="00BC42F8"/>
    <w:rsid w:val="00BC483F"/>
    <w:rsid w:val="00BC4A04"/>
    <w:rsid w:val="00BC4C16"/>
    <w:rsid w:val="00BC5266"/>
    <w:rsid w:val="00BC5AC9"/>
    <w:rsid w:val="00BC5B81"/>
    <w:rsid w:val="00BC5BFA"/>
    <w:rsid w:val="00BC67BD"/>
    <w:rsid w:val="00BC6EAF"/>
    <w:rsid w:val="00BD09B6"/>
    <w:rsid w:val="00BD1F5E"/>
    <w:rsid w:val="00BD2187"/>
    <w:rsid w:val="00BD2C23"/>
    <w:rsid w:val="00BD32EC"/>
    <w:rsid w:val="00BD376E"/>
    <w:rsid w:val="00BD4003"/>
    <w:rsid w:val="00BD5308"/>
    <w:rsid w:val="00BD585E"/>
    <w:rsid w:val="00BD6FF8"/>
    <w:rsid w:val="00BE0E24"/>
    <w:rsid w:val="00BE20E6"/>
    <w:rsid w:val="00BE2B93"/>
    <w:rsid w:val="00BE3107"/>
    <w:rsid w:val="00BE4897"/>
    <w:rsid w:val="00BE5F12"/>
    <w:rsid w:val="00BE5F7A"/>
    <w:rsid w:val="00BE6370"/>
    <w:rsid w:val="00BE7394"/>
    <w:rsid w:val="00BE73AC"/>
    <w:rsid w:val="00BE74D2"/>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06BDB"/>
    <w:rsid w:val="00C10287"/>
    <w:rsid w:val="00C10869"/>
    <w:rsid w:val="00C10C4D"/>
    <w:rsid w:val="00C10F8F"/>
    <w:rsid w:val="00C11883"/>
    <w:rsid w:val="00C13F06"/>
    <w:rsid w:val="00C1477C"/>
    <w:rsid w:val="00C150F7"/>
    <w:rsid w:val="00C16C53"/>
    <w:rsid w:val="00C1729C"/>
    <w:rsid w:val="00C20921"/>
    <w:rsid w:val="00C2092F"/>
    <w:rsid w:val="00C21446"/>
    <w:rsid w:val="00C21743"/>
    <w:rsid w:val="00C219A6"/>
    <w:rsid w:val="00C22CAC"/>
    <w:rsid w:val="00C2344D"/>
    <w:rsid w:val="00C23464"/>
    <w:rsid w:val="00C24086"/>
    <w:rsid w:val="00C24571"/>
    <w:rsid w:val="00C259E3"/>
    <w:rsid w:val="00C25D06"/>
    <w:rsid w:val="00C26481"/>
    <w:rsid w:val="00C27DDB"/>
    <w:rsid w:val="00C27EB1"/>
    <w:rsid w:val="00C3194E"/>
    <w:rsid w:val="00C33CAD"/>
    <w:rsid w:val="00C3502E"/>
    <w:rsid w:val="00C36567"/>
    <w:rsid w:val="00C36D28"/>
    <w:rsid w:val="00C37B63"/>
    <w:rsid w:val="00C40144"/>
    <w:rsid w:val="00C40344"/>
    <w:rsid w:val="00C4048E"/>
    <w:rsid w:val="00C4121F"/>
    <w:rsid w:val="00C41547"/>
    <w:rsid w:val="00C41F3F"/>
    <w:rsid w:val="00C436F3"/>
    <w:rsid w:val="00C43896"/>
    <w:rsid w:val="00C4461E"/>
    <w:rsid w:val="00C44B4C"/>
    <w:rsid w:val="00C45EAA"/>
    <w:rsid w:val="00C45EAC"/>
    <w:rsid w:val="00C462E0"/>
    <w:rsid w:val="00C46540"/>
    <w:rsid w:val="00C50448"/>
    <w:rsid w:val="00C5060F"/>
    <w:rsid w:val="00C506EA"/>
    <w:rsid w:val="00C512E0"/>
    <w:rsid w:val="00C51825"/>
    <w:rsid w:val="00C5205D"/>
    <w:rsid w:val="00C52073"/>
    <w:rsid w:val="00C52331"/>
    <w:rsid w:val="00C537E8"/>
    <w:rsid w:val="00C54204"/>
    <w:rsid w:val="00C609E9"/>
    <w:rsid w:val="00C60AEC"/>
    <w:rsid w:val="00C6120D"/>
    <w:rsid w:val="00C616E4"/>
    <w:rsid w:val="00C61752"/>
    <w:rsid w:val="00C61B0B"/>
    <w:rsid w:val="00C61D2F"/>
    <w:rsid w:val="00C61F68"/>
    <w:rsid w:val="00C62314"/>
    <w:rsid w:val="00C633D2"/>
    <w:rsid w:val="00C63AE6"/>
    <w:rsid w:val="00C67015"/>
    <w:rsid w:val="00C700EA"/>
    <w:rsid w:val="00C711B9"/>
    <w:rsid w:val="00C728F9"/>
    <w:rsid w:val="00C737E1"/>
    <w:rsid w:val="00C74178"/>
    <w:rsid w:val="00C74308"/>
    <w:rsid w:val="00C760EF"/>
    <w:rsid w:val="00C767DF"/>
    <w:rsid w:val="00C76B8E"/>
    <w:rsid w:val="00C77A00"/>
    <w:rsid w:val="00C80254"/>
    <w:rsid w:val="00C81540"/>
    <w:rsid w:val="00C81BA6"/>
    <w:rsid w:val="00C820D0"/>
    <w:rsid w:val="00C83598"/>
    <w:rsid w:val="00C83EE6"/>
    <w:rsid w:val="00C84710"/>
    <w:rsid w:val="00C862AF"/>
    <w:rsid w:val="00C86C66"/>
    <w:rsid w:val="00C87BCC"/>
    <w:rsid w:val="00C90238"/>
    <w:rsid w:val="00C91605"/>
    <w:rsid w:val="00C92A4B"/>
    <w:rsid w:val="00C92AB5"/>
    <w:rsid w:val="00C92BE4"/>
    <w:rsid w:val="00C9346F"/>
    <w:rsid w:val="00C93652"/>
    <w:rsid w:val="00C93CAC"/>
    <w:rsid w:val="00C94455"/>
    <w:rsid w:val="00C9497A"/>
    <w:rsid w:val="00C94C33"/>
    <w:rsid w:val="00C957C9"/>
    <w:rsid w:val="00C95D1A"/>
    <w:rsid w:val="00C9630F"/>
    <w:rsid w:val="00C963C8"/>
    <w:rsid w:val="00C97B08"/>
    <w:rsid w:val="00CA03B8"/>
    <w:rsid w:val="00CA0828"/>
    <w:rsid w:val="00CA08D1"/>
    <w:rsid w:val="00CA097D"/>
    <w:rsid w:val="00CA102E"/>
    <w:rsid w:val="00CA2A3D"/>
    <w:rsid w:val="00CA40B0"/>
    <w:rsid w:val="00CA4C94"/>
    <w:rsid w:val="00CA5212"/>
    <w:rsid w:val="00CA6D37"/>
    <w:rsid w:val="00CA6DF7"/>
    <w:rsid w:val="00CB271C"/>
    <w:rsid w:val="00CB2D6D"/>
    <w:rsid w:val="00CB3596"/>
    <w:rsid w:val="00CB40FF"/>
    <w:rsid w:val="00CB4639"/>
    <w:rsid w:val="00CB4FA8"/>
    <w:rsid w:val="00CB7034"/>
    <w:rsid w:val="00CC14CA"/>
    <w:rsid w:val="00CC1892"/>
    <w:rsid w:val="00CC28B5"/>
    <w:rsid w:val="00CC2B6F"/>
    <w:rsid w:val="00CC2E19"/>
    <w:rsid w:val="00CC3AD1"/>
    <w:rsid w:val="00CC41B9"/>
    <w:rsid w:val="00CC5AA6"/>
    <w:rsid w:val="00CC6BF9"/>
    <w:rsid w:val="00CD05B6"/>
    <w:rsid w:val="00CD0A6D"/>
    <w:rsid w:val="00CD1289"/>
    <w:rsid w:val="00CD1563"/>
    <w:rsid w:val="00CD215C"/>
    <w:rsid w:val="00CD27CF"/>
    <w:rsid w:val="00CD2B45"/>
    <w:rsid w:val="00CD2DAF"/>
    <w:rsid w:val="00CD30CA"/>
    <w:rsid w:val="00CD4365"/>
    <w:rsid w:val="00CD4451"/>
    <w:rsid w:val="00CD5423"/>
    <w:rsid w:val="00CD580E"/>
    <w:rsid w:val="00CD61B2"/>
    <w:rsid w:val="00CD6589"/>
    <w:rsid w:val="00CD766D"/>
    <w:rsid w:val="00CD7D8D"/>
    <w:rsid w:val="00CE0F21"/>
    <w:rsid w:val="00CE21FB"/>
    <w:rsid w:val="00CE2DB9"/>
    <w:rsid w:val="00CE39F8"/>
    <w:rsid w:val="00CE4C45"/>
    <w:rsid w:val="00CE57EE"/>
    <w:rsid w:val="00CE5A1E"/>
    <w:rsid w:val="00CE682F"/>
    <w:rsid w:val="00CE70F4"/>
    <w:rsid w:val="00CE78C5"/>
    <w:rsid w:val="00CF3694"/>
    <w:rsid w:val="00CF4BFB"/>
    <w:rsid w:val="00CF57C3"/>
    <w:rsid w:val="00CF623B"/>
    <w:rsid w:val="00CF64DE"/>
    <w:rsid w:val="00CF6C89"/>
    <w:rsid w:val="00D003A7"/>
    <w:rsid w:val="00D00A8E"/>
    <w:rsid w:val="00D01BBC"/>
    <w:rsid w:val="00D01E2C"/>
    <w:rsid w:val="00D01FE0"/>
    <w:rsid w:val="00D02A7B"/>
    <w:rsid w:val="00D02AE1"/>
    <w:rsid w:val="00D04A3B"/>
    <w:rsid w:val="00D0591C"/>
    <w:rsid w:val="00D059C4"/>
    <w:rsid w:val="00D060EB"/>
    <w:rsid w:val="00D06545"/>
    <w:rsid w:val="00D067F1"/>
    <w:rsid w:val="00D06CD4"/>
    <w:rsid w:val="00D0703E"/>
    <w:rsid w:val="00D10662"/>
    <w:rsid w:val="00D11563"/>
    <w:rsid w:val="00D13088"/>
    <w:rsid w:val="00D136AB"/>
    <w:rsid w:val="00D149EA"/>
    <w:rsid w:val="00D17447"/>
    <w:rsid w:val="00D17BCF"/>
    <w:rsid w:val="00D2106F"/>
    <w:rsid w:val="00D2484F"/>
    <w:rsid w:val="00D266AA"/>
    <w:rsid w:val="00D266DF"/>
    <w:rsid w:val="00D2753C"/>
    <w:rsid w:val="00D31737"/>
    <w:rsid w:val="00D317CE"/>
    <w:rsid w:val="00D31C32"/>
    <w:rsid w:val="00D3260C"/>
    <w:rsid w:val="00D32E49"/>
    <w:rsid w:val="00D32EB9"/>
    <w:rsid w:val="00D35A41"/>
    <w:rsid w:val="00D35C13"/>
    <w:rsid w:val="00D36385"/>
    <w:rsid w:val="00D36772"/>
    <w:rsid w:val="00D3709F"/>
    <w:rsid w:val="00D37FDF"/>
    <w:rsid w:val="00D40556"/>
    <w:rsid w:val="00D40B15"/>
    <w:rsid w:val="00D41D00"/>
    <w:rsid w:val="00D43CB0"/>
    <w:rsid w:val="00D440C8"/>
    <w:rsid w:val="00D44201"/>
    <w:rsid w:val="00D449A0"/>
    <w:rsid w:val="00D45301"/>
    <w:rsid w:val="00D45658"/>
    <w:rsid w:val="00D45ADE"/>
    <w:rsid w:val="00D4680B"/>
    <w:rsid w:val="00D47FCB"/>
    <w:rsid w:val="00D50E00"/>
    <w:rsid w:val="00D51B3F"/>
    <w:rsid w:val="00D54337"/>
    <w:rsid w:val="00D54B91"/>
    <w:rsid w:val="00D5516B"/>
    <w:rsid w:val="00D560C1"/>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677"/>
    <w:rsid w:val="00D87744"/>
    <w:rsid w:val="00D90BD7"/>
    <w:rsid w:val="00D912FB"/>
    <w:rsid w:val="00D9153C"/>
    <w:rsid w:val="00D93A82"/>
    <w:rsid w:val="00D93A98"/>
    <w:rsid w:val="00D93FF7"/>
    <w:rsid w:val="00D941AB"/>
    <w:rsid w:val="00D94EB0"/>
    <w:rsid w:val="00D960DF"/>
    <w:rsid w:val="00D96B43"/>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B09F4"/>
    <w:rsid w:val="00DB1E63"/>
    <w:rsid w:val="00DB228B"/>
    <w:rsid w:val="00DB22B2"/>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A1C"/>
    <w:rsid w:val="00DD307B"/>
    <w:rsid w:val="00DD3D7D"/>
    <w:rsid w:val="00DD5039"/>
    <w:rsid w:val="00DD517B"/>
    <w:rsid w:val="00DD59B6"/>
    <w:rsid w:val="00DD5BEF"/>
    <w:rsid w:val="00DD5EBE"/>
    <w:rsid w:val="00DD614D"/>
    <w:rsid w:val="00DD7A11"/>
    <w:rsid w:val="00DD7E21"/>
    <w:rsid w:val="00DE0422"/>
    <w:rsid w:val="00DE0530"/>
    <w:rsid w:val="00DE05A3"/>
    <w:rsid w:val="00DE0DF8"/>
    <w:rsid w:val="00DE2422"/>
    <w:rsid w:val="00DE2D4E"/>
    <w:rsid w:val="00DE43AF"/>
    <w:rsid w:val="00DE4C9C"/>
    <w:rsid w:val="00DE664A"/>
    <w:rsid w:val="00DF055E"/>
    <w:rsid w:val="00DF0E0A"/>
    <w:rsid w:val="00DF1864"/>
    <w:rsid w:val="00DF4789"/>
    <w:rsid w:val="00DF4C16"/>
    <w:rsid w:val="00DF66B4"/>
    <w:rsid w:val="00DF7206"/>
    <w:rsid w:val="00DF78D4"/>
    <w:rsid w:val="00E024B3"/>
    <w:rsid w:val="00E0443C"/>
    <w:rsid w:val="00E0583B"/>
    <w:rsid w:val="00E06256"/>
    <w:rsid w:val="00E06582"/>
    <w:rsid w:val="00E076A9"/>
    <w:rsid w:val="00E1094D"/>
    <w:rsid w:val="00E10F9F"/>
    <w:rsid w:val="00E11DDD"/>
    <w:rsid w:val="00E13489"/>
    <w:rsid w:val="00E13D69"/>
    <w:rsid w:val="00E14757"/>
    <w:rsid w:val="00E14E9B"/>
    <w:rsid w:val="00E15DFA"/>
    <w:rsid w:val="00E16AD2"/>
    <w:rsid w:val="00E20280"/>
    <w:rsid w:val="00E20B9F"/>
    <w:rsid w:val="00E2137D"/>
    <w:rsid w:val="00E22566"/>
    <w:rsid w:val="00E23ABB"/>
    <w:rsid w:val="00E23FF4"/>
    <w:rsid w:val="00E244E1"/>
    <w:rsid w:val="00E25346"/>
    <w:rsid w:val="00E27033"/>
    <w:rsid w:val="00E2769A"/>
    <w:rsid w:val="00E30C6E"/>
    <w:rsid w:val="00E31876"/>
    <w:rsid w:val="00E31A4F"/>
    <w:rsid w:val="00E356F8"/>
    <w:rsid w:val="00E35D74"/>
    <w:rsid w:val="00E35F5F"/>
    <w:rsid w:val="00E3733F"/>
    <w:rsid w:val="00E375C2"/>
    <w:rsid w:val="00E4144F"/>
    <w:rsid w:val="00E41CC3"/>
    <w:rsid w:val="00E42400"/>
    <w:rsid w:val="00E435D2"/>
    <w:rsid w:val="00E44203"/>
    <w:rsid w:val="00E44F19"/>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A89"/>
    <w:rsid w:val="00E55ECD"/>
    <w:rsid w:val="00E56B85"/>
    <w:rsid w:val="00E60C18"/>
    <w:rsid w:val="00E60DFC"/>
    <w:rsid w:val="00E6122D"/>
    <w:rsid w:val="00E630FE"/>
    <w:rsid w:val="00E635BE"/>
    <w:rsid w:val="00E6378F"/>
    <w:rsid w:val="00E64996"/>
    <w:rsid w:val="00E67216"/>
    <w:rsid w:val="00E67469"/>
    <w:rsid w:val="00E70704"/>
    <w:rsid w:val="00E72D46"/>
    <w:rsid w:val="00E734CA"/>
    <w:rsid w:val="00E745BE"/>
    <w:rsid w:val="00E75662"/>
    <w:rsid w:val="00E76ACB"/>
    <w:rsid w:val="00E76B34"/>
    <w:rsid w:val="00E7720F"/>
    <w:rsid w:val="00E804E2"/>
    <w:rsid w:val="00E81D50"/>
    <w:rsid w:val="00E834CC"/>
    <w:rsid w:val="00E84742"/>
    <w:rsid w:val="00E8643F"/>
    <w:rsid w:val="00E869A5"/>
    <w:rsid w:val="00E87FCA"/>
    <w:rsid w:val="00E90435"/>
    <w:rsid w:val="00E925AF"/>
    <w:rsid w:val="00E9287C"/>
    <w:rsid w:val="00E92B24"/>
    <w:rsid w:val="00E92BE7"/>
    <w:rsid w:val="00E92FFB"/>
    <w:rsid w:val="00E93C0B"/>
    <w:rsid w:val="00E9438F"/>
    <w:rsid w:val="00E96C3A"/>
    <w:rsid w:val="00E97C0B"/>
    <w:rsid w:val="00E97E09"/>
    <w:rsid w:val="00EA1CF8"/>
    <w:rsid w:val="00EA20FA"/>
    <w:rsid w:val="00EA243C"/>
    <w:rsid w:val="00EA2742"/>
    <w:rsid w:val="00EA27EE"/>
    <w:rsid w:val="00EA29CF"/>
    <w:rsid w:val="00EB0465"/>
    <w:rsid w:val="00EB0A20"/>
    <w:rsid w:val="00EB36E7"/>
    <w:rsid w:val="00EB4F95"/>
    <w:rsid w:val="00EB64F6"/>
    <w:rsid w:val="00EB66F6"/>
    <w:rsid w:val="00EB79E0"/>
    <w:rsid w:val="00EC0064"/>
    <w:rsid w:val="00EC00A4"/>
    <w:rsid w:val="00EC2B8B"/>
    <w:rsid w:val="00EC3225"/>
    <w:rsid w:val="00EC33C3"/>
    <w:rsid w:val="00EC35AD"/>
    <w:rsid w:val="00EC48F5"/>
    <w:rsid w:val="00EC4F9D"/>
    <w:rsid w:val="00EC50A3"/>
    <w:rsid w:val="00EC551F"/>
    <w:rsid w:val="00EC5956"/>
    <w:rsid w:val="00EC5EFB"/>
    <w:rsid w:val="00EC766B"/>
    <w:rsid w:val="00ED0537"/>
    <w:rsid w:val="00ED0C25"/>
    <w:rsid w:val="00ED0E35"/>
    <w:rsid w:val="00ED13D8"/>
    <w:rsid w:val="00ED180C"/>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CFE"/>
    <w:rsid w:val="00ED6FD1"/>
    <w:rsid w:val="00ED7A52"/>
    <w:rsid w:val="00EE0584"/>
    <w:rsid w:val="00EE06C4"/>
    <w:rsid w:val="00EE06E0"/>
    <w:rsid w:val="00EE08DB"/>
    <w:rsid w:val="00EE17C5"/>
    <w:rsid w:val="00EE24C6"/>
    <w:rsid w:val="00EE3138"/>
    <w:rsid w:val="00EE31E5"/>
    <w:rsid w:val="00EE3534"/>
    <w:rsid w:val="00EE35E7"/>
    <w:rsid w:val="00EE45E6"/>
    <w:rsid w:val="00EE5227"/>
    <w:rsid w:val="00EE53DA"/>
    <w:rsid w:val="00EE568F"/>
    <w:rsid w:val="00EE5A4A"/>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5DC7"/>
    <w:rsid w:val="00EF7852"/>
    <w:rsid w:val="00EF7CA6"/>
    <w:rsid w:val="00F010BE"/>
    <w:rsid w:val="00F016F6"/>
    <w:rsid w:val="00F0406C"/>
    <w:rsid w:val="00F051E3"/>
    <w:rsid w:val="00F06612"/>
    <w:rsid w:val="00F079C8"/>
    <w:rsid w:val="00F11B1B"/>
    <w:rsid w:val="00F121C4"/>
    <w:rsid w:val="00F1262F"/>
    <w:rsid w:val="00F12AD5"/>
    <w:rsid w:val="00F13AC8"/>
    <w:rsid w:val="00F15134"/>
    <w:rsid w:val="00F1545F"/>
    <w:rsid w:val="00F16507"/>
    <w:rsid w:val="00F17245"/>
    <w:rsid w:val="00F17DD4"/>
    <w:rsid w:val="00F20053"/>
    <w:rsid w:val="00F20AE0"/>
    <w:rsid w:val="00F21D33"/>
    <w:rsid w:val="00F223A7"/>
    <w:rsid w:val="00F22A55"/>
    <w:rsid w:val="00F23101"/>
    <w:rsid w:val="00F26055"/>
    <w:rsid w:val="00F26226"/>
    <w:rsid w:val="00F26454"/>
    <w:rsid w:val="00F26537"/>
    <w:rsid w:val="00F279C7"/>
    <w:rsid w:val="00F279D2"/>
    <w:rsid w:val="00F27CBD"/>
    <w:rsid w:val="00F27E87"/>
    <w:rsid w:val="00F27FB2"/>
    <w:rsid w:val="00F30799"/>
    <w:rsid w:val="00F30875"/>
    <w:rsid w:val="00F31D4D"/>
    <w:rsid w:val="00F31FE9"/>
    <w:rsid w:val="00F32897"/>
    <w:rsid w:val="00F32D25"/>
    <w:rsid w:val="00F32EFE"/>
    <w:rsid w:val="00F33A30"/>
    <w:rsid w:val="00F341A9"/>
    <w:rsid w:val="00F351BC"/>
    <w:rsid w:val="00F351C2"/>
    <w:rsid w:val="00F35F8E"/>
    <w:rsid w:val="00F36050"/>
    <w:rsid w:val="00F36B44"/>
    <w:rsid w:val="00F37EA8"/>
    <w:rsid w:val="00F4375B"/>
    <w:rsid w:val="00F44932"/>
    <w:rsid w:val="00F4630A"/>
    <w:rsid w:val="00F46CA7"/>
    <w:rsid w:val="00F47D50"/>
    <w:rsid w:val="00F52CC4"/>
    <w:rsid w:val="00F52D2E"/>
    <w:rsid w:val="00F53B51"/>
    <w:rsid w:val="00F54212"/>
    <w:rsid w:val="00F60282"/>
    <w:rsid w:val="00F64380"/>
    <w:rsid w:val="00F644AF"/>
    <w:rsid w:val="00F653AE"/>
    <w:rsid w:val="00F654FA"/>
    <w:rsid w:val="00F66E71"/>
    <w:rsid w:val="00F67769"/>
    <w:rsid w:val="00F67AF9"/>
    <w:rsid w:val="00F7023B"/>
    <w:rsid w:val="00F71CA5"/>
    <w:rsid w:val="00F721BB"/>
    <w:rsid w:val="00F731BF"/>
    <w:rsid w:val="00F7348A"/>
    <w:rsid w:val="00F73653"/>
    <w:rsid w:val="00F758DF"/>
    <w:rsid w:val="00F76302"/>
    <w:rsid w:val="00F76322"/>
    <w:rsid w:val="00F76A37"/>
    <w:rsid w:val="00F76C91"/>
    <w:rsid w:val="00F76DF5"/>
    <w:rsid w:val="00F7733F"/>
    <w:rsid w:val="00F77C09"/>
    <w:rsid w:val="00F80424"/>
    <w:rsid w:val="00F81A1F"/>
    <w:rsid w:val="00F82061"/>
    <w:rsid w:val="00F82C7D"/>
    <w:rsid w:val="00F84252"/>
    <w:rsid w:val="00F85A25"/>
    <w:rsid w:val="00F85BAC"/>
    <w:rsid w:val="00F87669"/>
    <w:rsid w:val="00F87913"/>
    <w:rsid w:val="00F90088"/>
    <w:rsid w:val="00F90D98"/>
    <w:rsid w:val="00F91D5B"/>
    <w:rsid w:val="00F92D15"/>
    <w:rsid w:val="00F92DC1"/>
    <w:rsid w:val="00F93083"/>
    <w:rsid w:val="00F93BE7"/>
    <w:rsid w:val="00F93C6E"/>
    <w:rsid w:val="00F93FDC"/>
    <w:rsid w:val="00F95BF4"/>
    <w:rsid w:val="00F97404"/>
    <w:rsid w:val="00FA043E"/>
    <w:rsid w:val="00FA1E25"/>
    <w:rsid w:val="00FA1F6D"/>
    <w:rsid w:val="00FA2046"/>
    <w:rsid w:val="00FA2281"/>
    <w:rsid w:val="00FA3857"/>
    <w:rsid w:val="00FA3B5D"/>
    <w:rsid w:val="00FA45C2"/>
    <w:rsid w:val="00FA4A39"/>
    <w:rsid w:val="00FA4B2E"/>
    <w:rsid w:val="00FA5763"/>
    <w:rsid w:val="00FA6025"/>
    <w:rsid w:val="00FA746D"/>
    <w:rsid w:val="00FA7966"/>
    <w:rsid w:val="00FB035C"/>
    <w:rsid w:val="00FB10AE"/>
    <w:rsid w:val="00FB1306"/>
    <w:rsid w:val="00FB2049"/>
    <w:rsid w:val="00FB20DD"/>
    <w:rsid w:val="00FB2CCC"/>
    <w:rsid w:val="00FB30B9"/>
    <w:rsid w:val="00FB45D2"/>
    <w:rsid w:val="00FB50D8"/>
    <w:rsid w:val="00FB6857"/>
    <w:rsid w:val="00FB68AA"/>
    <w:rsid w:val="00FB7547"/>
    <w:rsid w:val="00FC02B1"/>
    <w:rsid w:val="00FC02D5"/>
    <w:rsid w:val="00FC086F"/>
    <w:rsid w:val="00FC0A73"/>
    <w:rsid w:val="00FC0C49"/>
    <w:rsid w:val="00FC12A9"/>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423B"/>
    <w:rsid w:val="00FD4B7B"/>
    <w:rsid w:val="00FD591D"/>
    <w:rsid w:val="00FD5F7F"/>
    <w:rsid w:val="00FD617C"/>
    <w:rsid w:val="00FD67EC"/>
    <w:rsid w:val="00FE0C99"/>
    <w:rsid w:val="00FE0E3B"/>
    <w:rsid w:val="00FE0FC6"/>
    <w:rsid w:val="00FE1683"/>
    <w:rsid w:val="00FE2963"/>
    <w:rsid w:val="00FE5C93"/>
    <w:rsid w:val="00FE5EF8"/>
    <w:rsid w:val="00FE6E33"/>
    <w:rsid w:val="00FF10CF"/>
    <w:rsid w:val="00FF289A"/>
    <w:rsid w:val="00FF40B0"/>
    <w:rsid w:val="00FF4347"/>
    <w:rsid w:val="00FF43E0"/>
    <w:rsid w:val="00FF4515"/>
    <w:rsid w:val="00FF464C"/>
    <w:rsid w:val="00FF4C39"/>
    <w:rsid w:val="00FF6735"/>
    <w:rsid w:val="00FF713E"/>
    <w:rsid w:val="00FF71B2"/>
    <w:rsid w:val="00FF75DB"/>
    <w:rsid w:val="00FF7F8D"/>
    <w:rsid w:val="013C22E0"/>
    <w:rsid w:val="03A01DB2"/>
    <w:rsid w:val="08B121C8"/>
    <w:rsid w:val="12DB66FD"/>
    <w:rsid w:val="1484091B"/>
    <w:rsid w:val="159E02ED"/>
    <w:rsid w:val="1DE07759"/>
    <w:rsid w:val="21474395"/>
    <w:rsid w:val="2265D113"/>
    <w:rsid w:val="22A76334"/>
    <w:rsid w:val="25A9528A"/>
    <w:rsid w:val="282761D0"/>
    <w:rsid w:val="305D3167"/>
    <w:rsid w:val="36441276"/>
    <w:rsid w:val="380B5A6F"/>
    <w:rsid w:val="39B53673"/>
    <w:rsid w:val="3DAB6E49"/>
    <w:rsid w:val="42340F4D"/>
    <w:rsid w:val="425134E3"/>
    <w:rsid w:val="42B518FB"/>
    <w:rsid w:val="48E11125"/>
    <w:rsid w:val="4F4B54EF"/>
    <w:rsid w:val="51C67A99"/>
    <w:rsid w:val="57F971E5"/>
    <w:rsid w:val="5B525D20"/>
    <w:rsid w:val="5C380A13"/>
    <w:rsid w:val="645E0C15"/>
    <w:rsid w:val="6AAE16D0"/>
    <w:rsid w:val="6D417556"/>
    <w:rsid w:val="6E5B129F"/>
    <w:rsid w:val="7112785D"/>
    <w:rsid w:val="7A3620DA"/>
    <w:rsid w:val="7EEF2DA3"/>
    <w:rsid w:val="BFB3DA3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17"/>
    <w:unhideWhenUsed/>
    <w:qFormat/>
    <w:uiPriority w:val="0"/>
    <w:pPr>
      <w:keepNext/>
      <w:keepLines/>
      <w:spacing w:before="260" w:after="260" w:line="416" w:lineRule="auto"/>
      <w:outlineLvl w:val="2"/>
    </w:pPr>
    <w:rPr>
      <w:b/>
      <w:bCs/>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toc 3"/>
    <w:basedOn w:val="1"/>
    <w:next w:val="1"/>
    <w:qFormat/>
    <w:uiPriority w:val="39"/>
    <w:pPr>
      <w:widowControl/>
      <w:ind w:left="840" w:leftChars="400"/>
      <w:textAlignment w:val="baseline"/>
    </w:pPr>
    <w:rPr>
      <w:rFonts w:ascii="Calibri" w:hAnsi="Calibri" w:eastAsia="宋体" w:cs="Times New Roman"/>
      <w:sz w:val="21"/>
      <w:szCs w:val="22"/>
    </w:rPr>
  </w:style>
  <w:style w:type="paragraph" w:styleId="5">
    <w:name w:val="Balloon Text"/>
    <w:basedOn w:val="1"/>
    <w:link w:val="18"/>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39"/>
    <w:pPr>
      <w:widowControl/>
      <w:textAlignment w:val="baseline"/>
    </w:pPr>
    <w:rPr>
      <w:rFonts w:ascii="Calibri" w:hAnsi="Calibri" w:eastAsia="宋体" w:cs="Times New Roman"/>
      <w:sz w:val="21"/>
      <w:szCs w:val="22"/>
    </w:rPr>
  </w:style>
  <w:style w:type="paragraph" w:styleId="9">
    <w:name w:val="footnote text"/>
    <w:basedOn w:val="1"/>
    <w:link w:val="20"/>
    <w:qFormat/>
    <w:uiPriority w:val="0"/>
    <w:pPr>
      <w:snapToGrid w:val="0"/>
      <w:jc w:val="left"/>
    </w:pPr>
    <w:rPr>
      <w:sz w:val="18"/>
      <w:szCs w:val="18"/>
    </w:rPr>
  </w:style>
  <w:style w:type="paragraph" w:styleId="10">
    <w:name w:val="toc 2"/>
    <w:basedOn w:val="1"/>
    <w:next w:val="1"/>
    <w:qFormat/>
    <w:uiPriority w:val="39"/>
    <w:pPr>
      <w:widowControl/>
      <w:ind w:left="420" w:leftChars="200"/>
      <w:textAlignment w:val="baseline"/>
    </w:pPr>
    <w:rPr>
      <w:rFonts w:ascii="Calibri" w:hAnsi="Calibri" w:eastAsia="宋体" w:cs="Times New Roman"/>
      <w:sz w:val="21"/>
      <w:szCs w:val="22"/>
    </w:rPr>
  </w:style>
  <w:style w:type="character" w:styleId="13">
    <w:name w:val="page number"/>
    <w:basedOn w:val="12"/>
    <w:qFormat/>
    <w:uiPriority w:val="0"/>
  </w:style>
  <w:style w:type="character" w:styleId="14">
    <w:name w:val="Hyperlink"/>
    <w:qFormat/>
    <w:uiPriority w:val="99"/>
    <w:rPr>
      <w:color w:val="0000FF"/>
      <w:u w:val="single"/>
    </w:rPr>
  </w:style>
  <w:style w:type="character" w:styleId="15">
    <w:name w:val="footnote reference"/>
    <w:qFormat/>
    <w:uiPriority w:val="0"/>
    <w:rPr>
      <w:vertAlign w:val="superscript"/>
    </w:rPr>
  </w:style>
  <w:style w:type="character" w:customStyle="1" w:styleId="16">
    <w:name w:val="标题 1 Char"/>
    <w:link w:val="2"/>
    <w:qFormat/>
    <w:uiPriority w:val="0"/>
    <w:rPr>
      <w:rFonts w:eastAsia="方正仿宋_GBK"/>
      <w:b/>
      <w:bCs/>
      <w:kern w:val="44"/>
      <w:sz w:val="44"/>
      <w:szCs w:val="44"/>
    </w:rPr>
  </w:style>
  <w:style w:type="character" w:customStyle="1" w:styleId="17">
    <w:name w:val="标题 3 Char"/>
    <w:link w:val="3"/>
    <w:semiHidden/>
    <w:qFormat/>
    <w:uiPriority w:val="0"/>
    <w:rPr>
      <w:rFonts w:eastAsia="方正仿宋_GBK"/>
      <w:b/>
      <w:bCs/>
      <w:kern w:val="2"/>
      <w:sz w:val="32"/>
      <w:szCs w:val="32"/>
    </w:rPr>
  </w:style>
  <w:style w:type="character" w:customStyle="1" w:styleId="18">
    <w:name w:val="批注框文本 Char"/>
    <w:link w:val="5"/>
    <w:qFormat/>
    <w:uiPriority w:val="0"/>
    <w:rPr>
      <w:rFonts w:eastAsia="方正仿宋_GBK"/>
      <w:kern w:val="2"/>
      <w:sz w:val="18"/>
      <w:szCs w:val="18"/>
    </w:rPr>
  </w:style>
  <w:style w:type="character" w:customStyle="1" w:styleId="19">
    <w:name w:val="页脚 Char"/>
    <w:link w:val="6"/>
    <w:qFormat/>
    <w:uiPriority w:val="99"/>
    <w:rPr>
      <w:rFonts w:eastAsia="方正仿宋_GBK"/>
      <w:kern w:val="2"/>
      <w:sz w:val="18"/>
    </w:rPr>
  </w:style>
  <w:style w:type="character" w:customStyle="1" w:styleId="20">
    <w:name w:val="脚注文本 Char"/>
    <w:link w:val="9"/>
    <w:qFormat/>
    <w:uiPriority w:val="0"/>
    <w:rPr>
      <w:rFonts w:eastAsia="方正仿宋_GBK"/>
      <w:kern w:val="2"/>
      <w:sz w:val="18"/>
      <w:szCs w:val="18"/>
    </w:rPr>
  </w:style>
  <w:style w:type="character" w:customStyle="1" w:styleId="21">
    <w:name w:val="NormalCharacter"/>
    <w:qFormat/>
    <w:uiPriority w:val="0"/>
  </w:style>
  <w:style w:type="paragraph" w:customStyle="1" w:styleId="22">
    <w:name w:val="TOC 标题1"/>
    <w:basedOn w:val="2"/>
    <w:next w:val="1"/>
    <w:unhideWhenUsed/>
    <w:qFormat/>
    <w:uiPriority w:val="39"/>
    <w:pPr>
      <w:widowControl/>
      <w:spacing w:before="240" w:after="0" w:line="259" w:lineRule="auto"/>
      <w:jc w:val="left"/>
      <w:outlineLvl w:val="9"/>
    </w:pPr>
    <w:rPr>
      <w:rFonts w:ascii="Calibri Light" w:hAnsi="Calibri Light" w:eastAsia="宋体" w:cs="Times New Roman"/>
      <w:b w:val="0"/>
      <w:bCs w:val="0"/>
      <w:color w:val="2E74B5"/>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48</Pages>
  <Words>25963</Words>
  <Characters>27649</Characters>
  <Lines>224</Lines>
  <Paragraphs>63</Paragraphs>
  <TotalTime>0</TotalTime>
  <ScaleCrop>false</ScaleCrop>
  <LinksUpToDate>false</LinksUpToDate>
  <CharactersWithSpaces>27738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2012-10-19T19:10:00Z</dcterms:created>
  <dc:creator>微软中国</dc:creator>
  <cp:lastModifiedBy> </cp:lastModifiedBy>
  <cp:lastPrinted>2021-10-27T00:37:00Z</cp:lastPrinted>
  <dcterms:modified xsi:type="dcterms:W3CDTF">2024-07-08T19:38:43Z</dcterms:modified>
  <dc:title>（来文单位：□□□□）</dc:title>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EFB81F6AEAE14A649E179414C2BED8D4</vt:lpwstr>
  </property>
</Properties>
</file>