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snapToGrid/>
        <w:spacing w:before="0" w:beforeAutospacing="0" w:after="0" w:afterAutospacing="0" w:line="380" w:lineRule="exact"/>
        <w:jc w:val="both"/>
        <w:textAlignment w:val="baseline"/>
        <w:rPr>
          <w:rFonts w:hint="default" w:ascii="Times New Roman" w:hAnsi="Times New Roman" w:eastAsia="方正仿宋_GBK" w:cs="Times New Roman"/>
          <w:b w:val="0"/>
          <w:i w:val="0"/>
          <w:caps w:val="0"/>
          <w:color w:val="000000"/>
          <w:spacing w:val="0"/>
          <w:w w:val="100"/>
          <w:kern w:val="2"/>
          <w:sz w:val="32"/>
          <w:szCs w:val="20"/>
          <w:lang w:val="en-US" w:eastAsia="zh-CN" w:bidi="ar-SA"/>
        </w:rPr>
      </w:pPr>
      <w:bookmarkStart w:id="4" w:name="_GoBack"/>
      <w:bookmarkEnd w:id="4"/>
      <w:bookmarkStart w:id="0" w:name="_Toc41842081"/>
      <w:bookmarkStart w:id="1" w:name="_Toc41842198"/>
      <w:r>
        <w:rPr>
          <w:rFonts w:hint="default" w:ascii="Times New Roman" w:hAnsi="Times New Roman" w:eastAsia="方正仿宋_GBK" w:cs="Times New Roman"/>
          <w:b w:val="0"/>
          <w:i w:val="0"/>
          <w:caps w:val="0"/>
          <w:color w:val="000000"/>
          <w:spacing w:val="0"/>
          <w:w w:val="100"/>
          <w:kern w:val="2"/>
          <w:sz w:val="32"/>
          <w:szCs w:val="20"/>
          <w:lang w:bidi="ar-SA"/>
        </w:rPr>
        <mc:AlternateContent>
          <mc:Choice Requires="wps">
            <w:drawing>
              <wp:anchor distT="0" distB="0" distL="114300" distR="114300" simplePos="0" relativeHeight="251660288" behindDoc="0" locked="0" layoutInCell="1" allowOverlap="1">
                <wp:simplePos x="0" y="0"/>
                <wp:positionH relativeFrom="page">
                  <wp:posOffset>972185</wp:posOffset>
                </wp:positionH>
                <wp:positionV relativeFrom="margin">
                  <wp:posOffset>3032125</wp:posOffset>
                </wp:positionV>
                <wp:extent cx="5615940" cy="0"/>
                <wp:effectExtent l="0" t="10795" r="3810" b="17780"/>
                <wp:wrapNone/>
                <wp:docPr id="1" name="直线 5"/>
                <wp:cNvGraphicFramePr/>
                <a:graphic xmlns:a="http://schemas.openxmlformats.org/drawingml/2006/main">
                  <a:graphicData uri="http://schemas.microsoft.com/office/word/2010/wordprocessingShape">
                    <wps:wsp>
                      <wps:cNvSp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直线 5" o:spid="_x0000_s1026" o:spt="20" style="position:absolute;left:0pt;margin-left:76.55pt;margin-top:238.75pt;height:0pt;width:442.2pt;mso-position-horizontal-relative:page;mso-position-vertical-relative:margin;z-index:251660288;mso-width-relative:page;mso-height-relative:page;" filled="f" stroked="t" coordsize="21600,21600" o:gfxdata="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qeUcp&#10;2AAAAAwBAAAPAAAAAAAAAAEAIAAAACIAAABkcnMvZG93bnJldi54bWxQSwECFAAUAAAACACHTuJA&#10;UxitZOgBAADcAwAADgAAAAAAAAABACAAAAAnAQAAZHJzL2Uyb0RvYy54bWxQSwUGAAAAAAYABgBZ&#10;AQAAgQUAAAAA&#10;">
                <v:fill on="f" focussize="0,0"/>
                <v:stroke weight="1.75pt" color="#FF0000" joinstyle="round"/>
                <v:imagedata o:title=""/>
                <o:lock v:ext="edit" aspectratio="f"/>
              </v:line>
            </w:pict>
          </mc:Fallback>
        </mc:AlternateContent>
      </w:r>
      <w:r>
        <w:rPr>
          <w:rFonts w:hint="default" w:ascii="Times New Roman" w:hAnsi="Times New Roman" w:eastAsia="方正仿宋_GBK" w:cs="Times New Roman"/>
          <w:b w:val="0"/>
          <w:i w:val="0"/>
          <w:caps w:val="0"/>
          <w:color w:val="000000"/>
          <w:spacing w:val="0"/>
          <w:w w:val="100"/>
          <w:kern w:val="2"/>
          <w:sz w:val="32"/>
          <w:szCs w:val="20"/>
          <w:lang w:bidi="ar-SA"/>
        </w:rPr>
        <w:pict>
          <v:shape id="_x0000_s1030" o:spid="_x0000_s1030" o:spt="136" type="#_x0000_t136" style="position:absolute;left:0pt;margin-left:92.15pt;margin-top:98.5pt;height:52.45pt;width:411pt;mso-position-horizontal-relative:page;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黔江区人民政府办公室文件" style="font-family:方正小标宋_GBK;font-size:36pt;font-weight:bold;v-text-align:center;"/>
          </v:shape>
        </w:pict>
      </w:r>
    </w:p>
    <w:p>
      <w:pPr>
        <w:keepNext w:val="0"/>
        <w:keepLines w:val="0"/>
        <w:pageBreakBefore w:val="0"/>
        <w:widowControl/>
        <w:kinsoku/>
        <w:wordWrap/>
        <w:overflowPunct/>
        <w:topLinePunct w:val="0"/>
        <w:bidi w:val="0"/>
        <w:snapToGrid/>
        <w:spacing w:before="0" w:beforeAutospacing="0" w:after="0" w:afterAutospacing="0" w:line="380" w:lineRule="exact"/>
        <w:jc w:val="both"/>
        <w:textAlignment w:val="baseline"/>
        <w:rPr>
          <w:rFonts w:hint="default" w:ascii="Times New Roman" w:hAnsi="Times New Roman" w:eastAsia="方正仿宋_GBK" w:cs="Times New Roman"/>
          <w:b w:val="0"/>
          <w:i w:val="0"/>
          <w:caps w:val="0"/>
          <w:color w:val="000000"/>
          <w:spacing w:val="0"/>
          <w:w w:val="100"/>
          <w:kern w:val="2"/>
          <w:sz w:val="32"/>
          <w:szCs w:val="20"/>
          <w:lang w:val="en-US" w:eastAsia="zh-CN" w:bidi="ar-SA"/>
        </w:rPr>
      </w:pPr>
    </w:p>
    <w:p>
      <w:pPr>
        <w:keepNext w:val="0"/>
        <w:keepLines w:val="0"/>
        <w:pageBreakBefore w:val="0"/>
        <w:widowControl/>
        <w:kinsoku/>
        <w:wordWrap/>
        <w:overflowPunct/>
        <w:topLinePunct w:val="0"/>
        <w:bidi w:val="0"/>
        <w:snapToGrid/>
        <w:spacing w:before="0" w:beforeAutospacing="0" w:after="0" w:afterAutospacing="0" w:line="380" w:lineRule="exact"/>
        <w:jc w:val="both"/>
        <w:textAlignment w:val="baseline"/>
        <w:rPr>
          <w:rFonts w:hint="default" w:ascii="Times New Roman" w:hAnsi="Times New Roman" w:eastAsia="方正仿宋_GBK" w:cs="Times New Roman"/>
          <w:b w:val="0"/>
          <w:i w:val="0"/>
          <w:caps w:val="0"/>
          <w:color w:val="000000"/>
          <w:spacing w:val="0"/>
          <w:w w:val="100"/>
          <w:kern w:val="2"/>
          <w:sz w:val="32"/>
          <w:szCs w:val="20"/>
          <w:lang w:val="en-US" w:eastAsia="zh-CN" w:bidi="ar-SA"/>
        </w:rPr>
      </w:pPr>
    </w:p>
    <w:p>
      <w:pPr>
        <w:keepNext w:val="0"/>
        <w:keepLines w:val="0"/>
        <w:pageBreakBefore w:val="0"/>
        <w:widowControl/>
        <w:kinsoku/>
        <w:wordWrap/>
        <w:overflowPunct/>
        <w:topLinePunct w:val="0"/>
        <w:bidi w:val="0"/>
        <w:snapToGrid/>
        <w:spacing w:before="0" w:beforeAutospacing="0" w:after="0" w:afterAutospacing="0" w:line="380" w:lineRule="exact"/>
        <w:jc w:val="both"/>
        <w:textAlignment w:val="baseline"/>
        <w:rPr>
          <w:rFonts w:hint="default" w:ascii="Times New Roman" w:hAnsi="Times New Roman" w:eastAsia="方正仿宋_GBK" w:cs="Times New Roman"/>
          <w:b w:val="0"/>
          <w:i w:val="0"/>
          <w:caps w:val="0"/>
          <w:color w:val="000000"/>
          <w:spacing w:val="0"/>
          <w:w w:val="100"/>
          <w:kern w:val="2"/>
          <w:sz w:val="32"/>
          <w:szCs w:val="20"/>
          <w:lang w:val="en-US" w:eastAsia="zh-CN" w:bidi="ar-SA"/>
        </w:rPr>
      </w:pPr>
    </w:p>
    <w:p>
      <w:pPr>
        <w:keepNext w:val="0"/>
        <w:keepLines w:val="0"/>
        <w:pageBreakBefore w:val="0"/>
        <w:widowControl/>
        <w:kinsoku/>
        <w:wordWrap/>
        <w:overflowPunct/>
        <w:topLinePunct w:val="0"/>
        <w:bidi w:val="0"/>
        <w:snapToGrid/>
        <w:spacing w:before="0" w:beforeAutospacing="0" w:after="0" w:afterAutospacing="0" w:line="380" w:lineRule="exact"/>
        <w:jc w:val="both"/>
        <w:textAlignment w:val="baseline"/>
        <w:rPr>
          <w:rFonts w:hint="default" w:ascii="Times New Roman" w:hAnsi="Times New Roman" w:eastAsia="方正仿宋_GBK" w:cs="Times New Roman"/>
          <w:b w:val="0"/>
          <w:i w:val="0"/>
          <w:caps w:val="0"/>
          <w:color w:val="000000"/>
          <w:spacing w:val="0"/>
          <w:w w:val="100"/>
          <w:kern w:val="2"/>
          <w:sz w:val="32"/>
          <w:szCs w:val="20"/>
          <w:lang w:val="en-US" w:eastAsia="zh-CN" w:bidi="ar-SA"/>
        </w:rPr>
      </w:pPr>
    </w:p>
    <w:p>
      <w:pPr>
        <w:keepNext w:val="0"/>
        <w:keepLines w:val="0"/>
        <w:pageBreakBefore w:val="0"/>
        <w:widowControl/>
        <w:kinsoku/>
        <w:wordWrap/>
        <w:overflowPunct/>
        <w:topLinePunct w:val="0"/>
        <w:bidi w:val="0"/>
        <w:snapToGrid/>
        <w:spacing w:before="0" w:beforeAutospacing="0" w:after="0" w:afterAutospacing="0" w:line="380" w:lineRule="exact"/>
        <w:jc w:val="both"/>
        <w:textAlignment w:val="baseline"/>
        <w:rPr>
          <w:rFonts w:hint="default" w:ascii="Times New Roman" w:hAnsi="Times New Roman" w:eastAsia="方正仿宋_GBK" w:cs="Times New Roman"/>
          <w:b w:val="0"/>
          <w:i w:val="0"/>
          <w:caps w:val="0"/>
          <w:color w:val="000000"/>
          <w:spacing w:val="0"/>
          <w:w w:val="100"/>
          <w:kern w:val="2"/>
          <w:sz w:val="32"/>
          <w:szCs w:val="20"/>
          <w:lang w:val="en-US" w:eastAsia="zh-CN" w:bidi="ar-SA"/>
        </w:rPr>
      </w:pPr>
    </w:p>
    <w:p>
      <w:pPr>
        <w:keepNext w:val="0"/>
        <w:keepLines w:val="0"/>
        <w:pageBreakBefore w:val="0"/>
        <w:widowControl/>
        <w:kinsoku/>
        <w:wordWrap/>
        <w:overflowPunct/>
        <w:topLinePunct w:val="0"/>
        <w:bidi w:val="0"/>
        <w:snapToGrid/>
        <w:spacing w:before="0" w:beforeAutospacing="0" w:after="0" w:afterAutospacing="0" w:line="380" w:lineRule="exact"/>
        <w:jc w:val="both"/>
        <w:textAlignment w:val="baseline"/>
        <w:rPr>
          <w:rFonts w:hint="default" w:ascii="Times New Roman" w:hAnsi="Times New Roman" w:eastAsia="方正仿宋_GBK" w:cs="Times New Roman"/>
          <w:b w:val="0"/>
          <w:i w:val="0"/>
          <w:caps w:val="0"/>
          <w:color w:val="000000"/>
          <w:spacing w:val="0"/>
          <w:w w:val="100"/>
          <w:kern w:val="2"/>
          <w:sz w:val="32"/>
          <w:szCs w:val="20"/>
          <w:lang w:val="en-US" w:eastAsia="zh-CN" w:bidi="ar-SA"/>
        </w:rPr>
      </w:pPr>
    </w:p>
    <w:p>
      <w:pPr>
        <w:pStyle w:val="28"/>
        <w:keepNext w:val="0"/>
        <w:keepLines w:val="0"/>
        <w:pageBreakBefore w:val="0"/>
        <w:kinsoku/>
        <w:wordWrap/>
        <w:overflowPunct/>
        <w:topLinePunct w:val="0"/>
        <w:bidi w:val="0"/>
        <w:snapToGrid/>
        <w:spacing w:line="380" w:lineRule="exact"/>
        <w:rPr>
          <w:rFonts w:hint="default" w:ascii="Times New Roman" w:hAnsi="Times New Roman" w:eastAsia="方正仿宋_GBK" w:cs="Times New Roman"/>
          <w:b w:val="0"/>
          <w:i w:val="0"/>
          <w:caps w:val="0"/>
          <w:color w:val="000000"/>
          <w:spacing w:val="0"/>
          <w:w w:val="100"/>
          <w:kern w:val="2"/>
          <w:sz w:val="32"/>
          <w:szCs w:val="20"/>
          <w:lang w:val="en-US" w:eastAsia="zh-CN" w:bidi="ar-SA"/>
        </w:rPr>
      </w:pPr>
    </w:p>
    <w:p>
      <w:pPr>
        <w:pStyle w:val="28"/>
        <w:keepNext w:val="0"/>
        <w:keepLines w:val="0"/>
        <w:pageBreakBefore w:val="0"/>
        <w:kinsoku/>
        <w:wordWrap/>
        <w:overflowPunct/>
        <w:topLinePunct w:val="0"/>
        <w:bidi w:val="0"/>
        <w:snapToGrid/>
        <w:spacing w:line="380" w:lineRule="exact"/>
        <w:rPr>
          <w:rFonts w:hint="default" w:ascii="Times New Roman" w:hAnsi="Times New Roman" w:eastAsia="方正仿宋_GBK" w:cs="Times New Roman"/>
          <w:b w:val="0"/>
          <w:i w:val="0"/>
          <w:caps w:val="0"/>
          <w:color w:val="000000"/>
          <w:spacing w:val="0"/>
          <w:w w:val="100"/>
          <w:kern w:val="2"/>
          <w:sz w:val="32"/>
          <w:szCs w:val="20"/>
          <w:lang w:val="en-US" w:eastAsia="zh-CN" w:bidi="ar-SA"/>
        </w:rPr>
      </w:pPr>
    </w:p>
    <w:p>
      <w:pPr>
        <w:pStyle w:val="28"/>
        <w:keepNext w:val="0"/>
        <w:keepLines w:val="0"/>
        <w:pageBreakBefore w:val="0"/>
        <w:kinsoku/>
        <w:wordWrap/>
        <w:overflowPunct/>
        <w:topLinePunct w:val="0"/>
        <w:bidi w:val="0"/>
        <w:snapToGrid/>
        <w:spacing w:line="380" w:lineRule="exact"/>
        <w:rPr>
          <w:rFonts w:hint="default" w:ascii="Times New Roman" w:hAnsi="Times New Roman" w:eastAsia="方正仿宋_GBK" w:cs="Times New Roman"/>
          <w:b w:val="0"/>
          <w:i w:val="0"/>
          <w:caps w:val="0"/>
          <w:color w:val="000000"/>
          <w:spacing w:val="0"/>
          <w:w w:val="100"/>
          <w:kern w:val="2"/>
          <w:sz w:val="32"/>
          <w:szCs w:val="20"/>
          <w:lang w:val="en-US" w:eastAsia="zh-CN" w:bidi="ar-SA"/>
        </w:rPr>
      </w:pPr>
    </w:p>
    <w:p>
      <w:pPr>
        <w:pStyle w:val="28"/>
        <w:keepNext w:val="0"/>
        <w:keepLines w:val="0"/>
        <w:pageBreakBefore w:val="0"/>
        <w:kinsoku/>
        <w:wordWrap/>
        <w:overflowPunct/>
        <w:topLinePunct w:val="0"/>
        <w:bidi w:val="0"/>
        <w:snapToGrid/>
        <w:spacing w:line="380" w:lineRule="exact"/>
        <w:rPr>
          <w:rFonts w:hint="default" w:ascii="Times New Roman" w:hAnsi="Times New Roman" w:eastAsia="方正仿宋_GBK" w:cs="Times New Roman"/>
          <w:b w:val="0"/>
          <w:i w:val="0"/>
          <w:caps w:val="0"/>
          <w:color w:val="000000"/>
          <w:spacing w:val="0"/>
          <w:w w:val="100"/>
          <w:kern w:val="2"/>
          <w:sz w:val="32"/>
          <w:szCs w:val="20"/>
          <w:lang w:val="en-US" w:eastAsia="zh-CN" w:bidi="ar-SA"/>
        </w:rPr>
      </w:pPr>
    </w:p>
    <w:p>
      <w:pPr>
        <w:widowControl/>
        <w:snapToGrid/>
        <w:spacing w:before="0" w:beforeAutospacing="0" w:after="0" w:afterAutospacing="0" w:line="560" w:lineRule="exact"/>
        <w:jc w:val="center"/>
        <w:textAlignment w:val="baseline"/>
        <w:rPr>
          <w:rFonts w:hint="default" w:ascii="Times New Roman" w:hAnsi="Times New Roman" w:eastAsia="方正仿宋_GBK" w:cs="Times New Roman"/>
          <w:b w:val="0"/>
          <w:i w:val="0"/>
          <w:caps w:val="0"/>
          <w:color w:val="000000"/>
          <w:spacing w:val="0"/>
          <w:w w:val="100"/>
          <w:kern w:val="2"/>
          <w:sz w:val="32"/>
          <w:szCs w:val="32"/>
          <w:lang w:val="en-US" w:eastAsia="zh-CN" w:bidi="ar-SA"/>
        </w:rPr>
      </w:pPr>
      <w:r>
        <w:rPr>
          <w:rFonts w:hint="default" w:ascii="Times New Roman" w:hAnsi="Times New Roman" w:eastAsia="方正仿宋_GBK" w:cs="Times New Roman"/>
          <w:b w:val="0"/>
          <w:i w:val="0"/>
          <w:caps w:val="0"/>
          <w:color w:val="000000"/>
          <w:spacing w:val="0"/>
          <w:w w:val="100"/>
          <w:kern w:val="2"/>
          <w:sz w:val="32"/>
          <w:szCs w:val="32"/>
          <w:lang w:val="en-US" w:eastAsia="zh-CN" w:bidi="ar-SA"/>
        </w:rPr>
        <w:t>黔江府办发〔2025〕</w:t>
      </w:r>
      <w:r>
        <w:rPr>
          <w:rFonts w:hint="eastAsia" w:ascii="Times New Roman" w:hAnsi="Times New Roman" w:eastAsia="方正仿宋_GBK" w:cs="Times New Roman"/>
          <w:b w:val="0"/>
          <w:i w:val="0"/>
          <w:caps w:val="0"/>
          <w:color w:val="000000"/>
          <w:spacing w:val="0"/>
          <w:w w:val="100"/>
          <w:kern w:val="2"/>
          <w:sz w:val="32"/>
          <w:szCs w:val="32"/>
          <w:lang w:val="en-US" w:eastAsia="zh-CN" w:bidi="ar-SA"/>
        </w:rPr>
        <w:t>21</w:t>
      </w:r>
      <w:r>
        <w:rPr>
          <w:rFonts w:hint="default" w:ascii="Times New Roman" w:hAnsi="Times New Roman" w:eastAsia="方正仿宋_GBK" w:cs="Times New Roman"/>
          <w:b w:val="0"/>
          <w:i w:val="0"/>
          <w:caps w:val="0"/>
          <w:color w:val="000000"/>
          <w:spacing w:val="0"/>
          <w:w w:val="100"/>
          <w:kern w:val="2"/>
          <w:sz w:val="32"/>
          <w:szCs w:val="32"/>
          <w:lang w:val="en-US" w:eastAsia="zh-CN" w:bidi="ar-SA"/>
        </w:rPr>
        <w:t>号</w:t>
      </w:r>
    </w:p>
    <w:p>
      <w:pPr>
        <w:keepNext w:val="0"/>
        <w:keepLines w:val="0"/>
        <w:pageBreakBefore w:val="0"/>
        <w:widowControl/>
        <w:kinsoku/>
        <w:overflowPunct/>
        <w:topLinePunct w:val="0"/>
        <w:bidi w:val="0"/>
        <w:snapToGrid/>
        <w:spacing w:before="0" w:beforeAutospacing="0" w:after="0" w:afterAutospacing="0" w:line="550" w:lineRule="exact"/>
        <w:ind w:right="0" w:rightChars="0"/>
        <w:jc w:val="center"/>
        <w:textAlignment w:val="baseline"/>
        <w:rPr>
          <w:rFonts w:hint="default" w:ascii="Times New Roman" w:hAnsi="Times New Roman" w:eastAsia="方正仿宋_GBK" w:cs="Times New Roman"/>
          <w:b w:val="0"/>
          <w:i w:val="0"/>
          <w:caps w:val="0"/>
          <w:color w:val="000000"/>
          <w:spacing w:val="0"/>
          <w:w w:val="100"/>
          <w:kern w:val="2"/>
          <w:sz w:val="32"/>
          <w:szCs w:val="20"/>
          <w:lang w:val="en-US" w:eastAsia="zh-CN" w:bidi="ar-SA"/>
        </w:rPr>
      </w:pPr>
    </w:p>
    <w:p>
      <w:pPr>
        <w:keepNext w:val="0"/>
        <w:keepLines w:val="0"/>
        <w:pageBreakBefore w:val="0"/>
        <w:widowControl/>
        <w:kinsoku/>
        <w:overflowPunct/>
        <w:topLinePunct w:val="0"/>
        <w:bidi w:val="0"/>
        <w:snapToGrid/>
        <w:spacing w:before="0" w:beforeAutospacing="0" w:after="0" w:afterAutospacing="0" w:line="550" w:lineRule="exact"/>
        <w:ind w:right="0" w:rightChars="0"/>
        <w:jc w:val="center"/>
        <w:textAlignment w:val="baseline"/>
        <w:rPr>
          <w:rFonts w:hint="default" w:ascii="Times New Roman" w:hAnsi="Times New Roman" w:eastAsia="方正仿宋_GBK" w:cs="Times New Roman"/>
          <w:b w:val="0"/>
          <w:i w:val="0"/>
          <w:caps w:val="0"/>
          <w:color w:val="000000"/>
          <w:spacing w:val="0"/>
          <w:w w:val="100"/>
          <w:kern w:val="2"/>
          <w:sz w:val="32"/>
          <w:szCs w:val="20"/>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50" w:lineRule="exact"/>
        <w:ind w:right="0" w:rightChars="0"/>
        <w:jc w:val="center"/>
        <w:textAlignment w:val="baseline"/>
        <w:rPr>
          <w:rFonts w:hint="default" w:ascii="Times New Roman" w:hAnsi="Times New Roman" w:eastAsia="方正小标宋_GBK" w:cs="Times New Roman"/>
          <w:b w:val="0"/>
          <w:i w:val="0"/>
          <w:caps w:val="0"/>
          <w:color w:val="000000"/>
          <w:spacing w:val="0"/>
          <w:w w:val="100"/>
          <w:kern w:val="2"/>
          <w:sz w:val="44"/>
          <w:szCs w:val="44"/>
          <w:lang w:val="en-US" w:eastAsia="zh-CN" w:bidi="ar-SA"/>
        </w:rPr>
      </w:pPr>
      <w:r>
        <w:rPr>
          <w:rFonts w:hint="default" w:ascii="Times New Roman" w:hAnsi="Times New Roman" w:eastAsia="方正小标宋_GBK" w:cs="Times New Roman"/>
          <w:b w:val="0"/>
          <w:i w:val="0"/>
          <w:caps w:val="0"/>
          <w:color w:val="000000"/>
          <w:spacing w:val="0"/>
          <w:w w:val="100"/>
          <w:kern w:val="2"/>
          <w:sz w:val="44"/>
          <w:szCs w:val="44"/>
          <w:lang w:val="en-US" w:eastAsia="zh-CN" w:bidi="ar-SA"/>
        </w:rPr>
        <w:t>重庆市黔江区人民政府办公室</w:t>
      </w:r>
    </w:p>
    <w:p>
      <w:pPr>
        <w:keepNext w:val="0"/>
        <w:keepLines w:val="0"/>
        <w:pageBreakBefore w:val="0"/>
        <w:widowControl/>
        <w:kinsoku/>
        <w:wordWrap/>
        <w:overflowPunct/>
        <w:topLinePunct w:val="0"/>
        <w:autoSpaceDE/>
        <w:autoSpaceDN/>
        <w:bidi w:val="0"/>
        <w:adjustRightInd/>
        <w:snapToGrid/>
        <w:spacing w:before="0" w:beforeAutospacing="0" w:after="0" w:afterAutospacing="0" w:line="550" w:lineRule="exact"/>
        <w:ind w:right="0" w:rightChars="0"/>
        <w:jc w:val="center"/>
        <w:textAlignment w:val="baseline"/>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val="en-US" w:eastAsia="zh-CN"/>
        </w:rPr>
        <w:t>关于印发《</w:t>
      </w:r>
      <w:r>
        <w:rPr>
          <w:rFonts w:hint="default" w:ascii="Times New Roman" w:hAnsi="Times New Roman" w:eastAsia="方正小标宋_GBK" w:cs="Times New Roman"/>
          <w:sz w:val="44"/>
          <w:szCs w:val="44"/>
        </w:rPr>
        <w:t>黔江区居民服务</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一卡通</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工作</w:t>
      </w:r>
    </w:p>
    <w:p>
      <w:pPr>
        <w:keepNext w:val="0"/>
        <w:keepLines w:val="0"/>
        <w:pageBreakBefore w:val="0"/>
        <w:widowControl/>
        <w:kinsoku/>
        <w:wordWrap/>
        <w:overflowPunct/>
        <w:topLinePunct w:val="0"/>
        <w:autoSpaceDE/>
        <w:autoSpaceDN/>
        <w:bidi w:val="0"/>
        <w:adjustRightInd/>
        <w:snapToGrid/>
        <w:spacing w:before="0" w:beforeAutospacing="0" w:after="0" w:afterAutospacing="0" w:line="550" w:lineRule="exact"/>
        <w:ind w:right="0" w:rightChars="0"/>
        <w:jc w:val="center"/>
        <w:textAlignment w:val="baseline"/>
        <w:rPr>
          <w:rFonts w:hint="default" w:ascii="Times New Roman" w:hAnsi="Times New Roman" w:eastAsia="方正小标宋_GBK" w:cs="Times New Roman"/>
          <w:b w:val="0"/>
          <w:i w:val="0"/>
          <w:caps w:val="0"/>
          <w:color w:val="000000"/>
          <w:spacing w:val="0"/>
          <w:w w:val="100"/>
          <w:kern w:val="2"/>
          <w:sz w:val="44"/>
          <w:szCs w:val="44"/>
          <w:lang w:val="en-US" w:eastAsia="zh-CN" w:bidi="ar-SA"/>
        </w:rPr>
      </w:pPr>
      <w:r>
        <w:rPr>
          <w:rFonts w:hint="default" w:ascii="Times New Roman" w:hAnsi="Times New Roman" w:eastAsia="方正小标宋_GBK" w:cs="Times New Roman"/>
          <w:sz w:val="44"/>
          <w:szCs w:val="44"/>
        </w:rPr>
        <w:t>推进方案</w:t>
      </w:r>
      <w:r>
        <w:rPr>
          <w:rFonts w:hint="default" w:ascii="Times New Roman" w:hAnsi="Times New Roman" w:eastAsia="方正小标宋_GBK" w:cs="Times New Roman"/>
          <w:sz w:val="44"/>
          <w:szCs w:val="44"/>
          <w:lang w:val="en-US" w:eastAsia="zh-CN"/>
        </w:rPr>
        <w:t>》的通知</w:t>
      </w:r>
    </w:p>
    <w:p>
      <w:pPr>
        <w:keepNext w:val="0"/>
        <w:keepLines w:val="0"/>
        <w:pageBreakBefore w:val="0"/>
        <w:widowControl/>
        <w:kinsoku/>
        <w:wordWrap/>
        <w:overflowPunct/>
        <w:topLinePunct w:val="0"/>
        <w:autoSpaceDE/>
        <w:autoSpaceDN/>
        <w:bidi w:val="0"/>
        <w:adjustRightInd/>
        <w:snapToGrid/>
        <w:spacing w:before="0" w:beforeAutospacing="0" w:after="0" w:afterAutospacing="0" w:line="550" w:lineRule="exact"/>
        <w:ind w:right="0" w:rightChars="0"/>
        <w:jc w:val="both"/>
        <w:textAlignment w:val="baseline"/>
        <w:rPr>
          <w:rFonts w:hint="default" w:ascii="Times New Roman" w:hAnsi="Times New Roman" w:eastAsia="宋体" w:cs="Times New Roman"/>
          <w:b w:val="0"/>
          <w:i w:val="0"/>
          <w:caps w:val="0"/>
          <w:color w:val="000000"/>
          <w:spacing w:val="0"/>
          <w:w w:val="100"/>
          <w:kern w:val="2"/>
          <w:sz w:val="21"/>
          <w:szCs w:val="32"/>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after="0" w:line="550" w:lineRule="exact"/>
        <w:ind w:left="0" w:leftChars="0" w:right="0" w:rightChars="0" w:firstLine="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highlight w:val="none"/>
          <w:lang w:val="en-US" w:eastAsia="zh-CN"/>
        </w:rPr>
        <w:t>各乡、镇人民政府，各街道办事处，区政府各部门，有关单位</w:t>
      </w:r>
      <w:r>
        <w:rPr>
          <w:rFonts w:hint="default" w:ascii="Times New Roman" w:hAnsi="Times New Roman" w:eastAsia="方正仿宋_GBK" w:cs="Times New Roman"/>
          <w:sz w:val="32"/>
          <w:szCs w:val="32"/>
          <w:lang w:val="en-US" w:eastAsia="zh-CN"/>
        </w:rPr>
        <w:t>：</w:t>
      </w:r>
    </w:p>
    <w:p>
      <w:pPr>
        <w:pStyle w:val="2"/>
        <w:keepNext w:val="0"/>
        <w:keepLines w:val="0"/>
        <w:pageBreakBefore w:val="0"/>
        <w:widowControl w:val="0"/>
        <w:kinsoku/>
        <w:wordWrap/>
        <w:overflowPunct/>
        <w:topLinePunct w:val="0"/>
        <w:autoSpaceDE/>
        <w:autoSpaceDN/>
        <w:bidi w:val="0"/>
        <w:adjustRightInd/>
        <w:snapToGrid/>
        <w:spacing w:after="0" w:line="550" w:lineRule="exact"/>
        <w:ind w:left="0" w:leftChars="0" w:right="0" w:rightChars="0" w:firstLine="640" w:firstLineChars="200"/>
        <w:textAlignment w:val="auto"/>
        <w:rPr>
          <w:rFonts w:hint="default" w:ascii="Times New Roman" w:hAnsi="Times New Roman" w:eastAsia="方正仿宋_GBK" w:cs="Times New Roman"/>
          <w:b w:val="0"/>
          <w:i w:val="0"/>
          <w:caps w:val="0"/>
          <w:spacing w:val="0"/>
          <w:w w:val="100"/>
          <w:kern w:val="2"/>
          <w:sz w:val="32"/>
          <w:szCs w:val="32"/>
          <w:lang w:val="en-US" w:eastAsia="zh-CN" w:bidi="ar-SA"/>
        </w:rPr>
      </w:pPr>
      <w:r>
        <w:rPr>
          <w:rFonts w:hint="default" w:ascii="Times New Roman" w:hAnsi="Times New Roman" w:eastAsia="方正仿宋_GBK" w:cs="Times New Roman"/>
          <w:sz w:val="32"/>
          <w:szCs w:val="32"/>
        </w:rPr>
        <w:t>《</w:t>
      </w:r>
      <w:bookmarkStart w:id="2" w:name="OLE_LINK2"/>
      <w:r>
        <w:rPr>
          <w:rFonts w:hint="default" w:ascii="Times New Roman" w:hAnsi="Times New Roman" w:eastAsia="方正仿宋_GBK" w:cs="Times New Roman"/>
          <w:sz w:val="32"/>
          <w:szCs w:val="32"/>
        </w:rPr>
        <w:t>黔江区居民服务</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一卡通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工作推进方案</w:t>
      </w:r>
      <w:bookmarkEnd w:id="2"/>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已</w:t>
      </w:r>
      <w:r>
        <w:rPr>
          <w:rFonts w:hint="default" w:ascii="Times New Roman" w:hAnsi="Times New Roman" w:eastAsia="方正仿宋_GBK" w:cs="Times New Roman"/>
          <w:sz w:val="32"/>
          <w:szCs w:val="32"/>
        </w:rPr>
        <w:t>经区政府同意，现印发给你们，请认真</w:t>
      </w:r>
      <w:r>
        <w:rPr>
          <w:rFonts w:hint="default" w:ascii="Times New Roman" w:hAnsi="Times New Roman" w:eastAsia="方正仿宋_GBK" w:cs="Times New Roman"/>
          <w:sz w:val="32"/>
          <w:szCs w:val="32"/>
          <w:lang w:eastAsia="zh-CN"/>
        </w:rPr>
        <w:t>抓好落实</w:t>
      </w:r>
      <w:r>
        <w:rPr>
          <w:rFonts w:hint="default" w:ascii="Times New Roman" w:hAnsi="Times New Roman" w:eastAsia="方正仿宋_GBK" w:cs="Times New Roman"/>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beforeAutospacing="0" w:after="0" w:afterAutospacing="0" w:line="550" w:lineRule="exact"/>
        <w:ind w:left="0" w:leftChars="0" w:right="0" w:rightChars="0"/>
        <w:jc w:val="both"/>
        <w:textAlignment w:val="baseline"/>
        <w:rPr>
          <w:rFonts w:hint="default" w:ascii="Times New Roman" w:hAnsi="Times New Roman" w:eastAsia="宋体" w:cs="Times New Roman"/>
          <w:b w:val="0"/>
          <w:i w:val="0"/>
          <w:caps w:val="0"/>
          <w:spacing w:val="0"/>
          <w:w w:val="100"/>
          <w:kern w:val="2"/>
          <w:sz w:val="21"/>
          <w:szCs w:val="21"/>
          <w:lang w:val="en-US" w:eastAsia="zh-CN" w:bidi="ar-SA"/>
        </w:rPr>
      </w:pPr>
    </w:p>
    <w:p>
      <w:pPr>
        <w:keepNext w:val="0"/>
        <w:keepLines w:val="0"/>
        <w:pageBreakBefore w:val="0"/>
        <w:kinsoku/>
        <w:wordWrap/>
        <w:overflowPunct/>
        <w:topLinePunct w:val="0"/>
        <w:autoSpaceDE/>
        <w:autoSpaceDN/>
        <w:bidi w:val="0"/>
        <w:adjustRightInd/>
        <w:snapToGrid/>
        <w:spacing w:beforeAutospacing="0" w:after="0" w:afterAutospacing="0" w:line="550" w:lineRule="exact"/>
        <w:ind w:left="0" w:leftChars="0" w:right="0" w:rightChars="0"/>
        <w:jc w:val="both"/>
        <w:textAlignment w:val="baseline"/>
        <w:rPr>
          <w:rFonts w:hint="default" w:ascii="Times New Roman" w:hAnsi="Times New Roman" w:eastAsia="宋体" w:cs="Times New Roman"/>
          <w:b w:val="0"/>
          <w:i w:val="0"/>
          <w:caps w:val="0"/>
          <w:spacing w:val="0"/>
          <w:w w:val="100"/>
          <w:kern w:val="2"/>
          <w:sz w:val="21"/>
          <w:szCs w:val="21"/>
          <w:lang w:val="en-US" w:eastAsia="zh-CN" w:bidi="ar-SA"/>
        </w:rPr>
      </w:pPr>
    </w:p>
    <w:p>
      <w:pPr>
        <w:keepNext w:val="0"/>
        <w:keepLines w:val="0"/>
        <w:pageBreakBefore w:val="0"/>
        <w:widowControl/>
        <w:kinsoku/>
        <w:wordWrap/>
        <w:overflowPunct/>
        <w:topLinePunct w:val="0"/>
        <w:autoSpaceDE/>
        <w:autoSpaceDN/>
        <w:bidi w:val="0"/>
        <w:adjustRightInd/>
        <w:snapToGrid/>
        <w:spacing w:beforeAutospacing="0" w:after="0" w:afterAutospacing="0" w:line="550" w:lineRule="exact"/>
        <w:ind w:right="0" w:rightChars="0"/>
        <w:jc w:val="right"/>
        <w:textAlignment w:val="baseline"/>
        <w:rPr>
          <w:rFonts w:hint="default" w:ascii="Times New Roman" w:hAnsi="Times New Roman" w:eastAsia="方正仿宋_GBK" w:cs="Times New Roman"/>
          <w:b w:val="0"/>
          <w:i w:val="0"/>
          <w:caps w:val="0"/>
          <w:spacing w:val="0"/>
          <w:w w:val="100"/>
          <w:kern w:val="2"/>
          <w:sz w:val="32"/>
          <w:szCs w:val="32"/>
          <w:lang w:val="en-US" w:eastAsia="zh-CN" w:bidi="ar-SA"/>
        </w:rPr>
      </w:pPr>
      <w:r>
        <w:rPr>
          <w:rFonts w:hint="default" w:ascii="Times New Roman" w:hAnsi="Times New Roman" w:eastAsia="方正仿宋_GBK" w:cs="Times New Roman"/>
          <w:b w:val="0"/>
          <w:i w:val="0"/>
          <w:caps w:val="0"/>
          <w:spacing w:val="0"/>
          <w:w w:val="100"/>
          <w:kern w:val="2"/>
          <w:sz w:val="32"/>
          <w:szCs w:val="32"/>
          <w:lang w:val="en-US" w:eastAsia="zh-CN" w:bidi="ar-SA"/>
        </w:rPr>
        <w:t xml:space="preserve">                      重庆市黔江区人民政府办公室</w:t>
      </w:r>
    </w:p>
    <w:p>
      <w:pPr>
        <w:pStyle w:val="28"/>
        <w:keepNext w:val="0"/>
        <w:keepLines w:val="0"/>
        <w:pageBreakBefore w:val="0"/>
        <w:widowControl w:val="0"/>
        <w:kinsoku/>
        <w:wordWrap w:val="0"/>
        <w:overflowPunct/>
        <w:topLinePunct w:val="0"/>
        <w:autoSpaceDE w:val="0"/>
        <w:autoSpaceDN w:val="0"/>
        <w:bidi w:val="0"/>
        <w:adjustRightInd w:val="0"/>
        <w:snapToGrid/>
        <w:spacing w:line="550" w:lineRule="exact"/>
        <w:ind w:left="0" w:leftChars="0" w:right="0" w:rightChars="0" w:firstLine="640" w:firstLineChars="200"/>
        <w:jc w:val="right"/>
        <w:textAlignment w:val="auto"/>
        <w:outlineLvl w:val="9"/>
        <w:rPr>
          <w:rFonts w:hint="default" w:ascii="Times New Roman" w:hAnsi="Times New Roman" w:eastAsia="方正仿宋_GBK" w:cs="Times New Roman"/>
          <w:b w:val="0"/>
          <w:i w:val="0"/>
          <w:caps w:val="0"/>
          <w:spacing w:val="0"/>
          <w:w w:val="100"/>
          <w:kern w:val="2"/>
          <w:sz w:val="32"/>
          <w:szCs w:val="32"/>
          <w:lang w:val="en-US" w:eastAsia="zh-CN" w:bidi="ar-SA"/>
        </w:rPr>
      </w:pPr>
      <w:r>
        <w:rPr>
          <w:rFonts w:hint="default" w:ascii="Times New Roman" w:hAnsi="Times New Roman" w:eastAsia="方正仿宋_GBK" w:cs="Times New Roman"/>
          <w:b w:val="0"/>
          <w:i w:val="0"/>
          <w:caps w:val="0"/>
          <w:spacing w:val="0"/>
          <w:w w:val="100"/>
          <w:kern w:val="2"/>
          <w:sz w:val="32"/>
          <w:szCs w:val="32"/>
          <w:lang w:val="en-US" w:eastAsia="zh-CN" w:bidi="ar-SA"/>
        </w:rPr>
        <w:t xml:space="preserve">                     202</w:t>
      </w:r>
      <w:r>
        <w:rPr>
          <w:rFonts w:hint="default" w:ascii="Times New Roman" w:hAnsi="Times New Roman" w:cs="Times New Roman"/>
          <w:b w:val="0"/>
          <w:i w:val="0"/>
          <w:caps w:val="0"/>
          <w:spacing w:val="0"/>
          <w:w w:val="100"/>
          <w:kern w:val="2"/>
          <w:sz w:val="32"/>
          <w:szCs w:val="32"/>
          <w:lang w:val="en-US" w:eastAsia="zh-CN" w:bidi="ar-SA"/>
        </w:rPr>
        <w:t>5</w:t>
      </w:r>
      <w:r>
        <w:rPr>
          <w:rFonts w:hint="default" w:ascii="Times New Roman" w:hAnsi="Times New Roman" w:eastAsia="方正仿宋_GBK" w:cs="Times New Roman"/>
          <w:b w:val="0"/>
          <w:i w:val="0"/>
          <w:caps w:val="0"/>
          <w:spacing w:val="0"/>
          <w:w w:val="100"/>
          <w:kern w:val="2"/>
          <w:sz w:val="32"/>
          <w:szCs w:val="32"/>
          <w:lang w:val="en-US" w:eastAsia="zh-CN" w:bidi="ar-SA"/>
        </w:rPr>
        <w:t>年</w:t>
      </w:r>
      <w:r>
        <w:rPr>
          <w:rFonts w:hint="default" w:ascii="Times New Roman" w:hAnsi="Times New Roman" w:cs="Times New Roman"/>
          <w:b w:val="0"/>
          <w:i w:val="0"/>
          <w:caps w:val="0"/>
          <w:spacing w:val="0"/>
          <w:w w:val="100"/>
          <w:kern w:val="2"/>
          <w:sz w:val="32"/>
          <w:szCs w:val="32"/>
          <w:lang w:val="en-US" w:eastAsia="zh-CN" w:bidi="ar-SA"/>
        </w:rPr>
        <w:t>5</w:t>
      </w:r>
      <w:r>
        <w:rPr>
          <w:rFonts w:hint="default" w:ascii="Times New Roman" w:hAnsi="Times New Roman" w:eastAsia="方正仿宋_GBK" w:cs="Times New Roman"/>
          <w:b w:val="0"/>
          <w:i w:val="0"/>
          <w:caps w:val="0"/>
          <w:spacing w:val="0"/>
          <w:w w:val="100"/>
          <w:kern w:val="2"/>
          <w:sz w:val="32"/>
          <w:szCs w:val="32"/>
          <w:lang w:val="en-US" w:eastAsia="zh-CN" w:bidi="ar-SA"/>
        </w:rPr>
        <w:t>月</w:t>
      </w:r>
      <w:r>
        <w:rPr>
          <w:rFonts w:hint="default" w:ascii="Times New Roman" w:hAnsi="Times New Roman" w:cs="Times New Roman"/>
          <w:b w:val="0"/>
          <w:i w:val="0"/>
          <w:caps w:val="0"/>
          <w:spacing w:val="0"/>
          <w:w w:val="100"/>
          <w:kern w:val="2"/>
          <w:sz w:val="32"/>
          <w:szCs w:val="32"/>
          <w:lang w:val="en-US" w:eastAsia="zh-CN" w:bidi="ar-SA"/>
        </w:rPr>
        <w:t>16</w:t>
      </w:r>
      <w:r>
        <w:rPr>
          <w:rFonts w:hint="default" w:ascii="Times New Roman" w:hAnsi="Times New Roman" w:eastAsia="方正仿宋_GBK" w:cs="Times New Roman"/>
          <w:b w:val="0"/>
          <w:i w:val="0"/>
          <w:caps w:val="0"/>
          <w:spacing w:val="0"/>
          <w:w w:val="100"/>
          <w:kern w:val="2"/>
          <w:sz w:val="32"/>
          <w:szCs w:val="32"/>
          <w:lang w:val="en-US" w:eastAsia="zh-CN" w:bidi="ar-SA"/>
        </w:rPr>
        <w:t xml:space="preserve">日      </w:t>
      </w:r>
    </w:p>
    <w:p>
      <w:pPr>
        <w:pStyle w:val="28"/>
        <w:keepNext w:val="0"/>
        <w:keepLines w:val="0"/>
        <w:pageBreakBefore w:val="0"/>
        <w:widowControl w:val="0"/>
        <w:kinsoku/>
        <w:wordWrap w:val="0"/>
        <w:overflowPunct/>
        <w:topLinePunct w:val="0"/>
        <w:autoSpaceDE w:val="0"/>
        <w:autoSpaceDN w:val="0"/>
        <w:bidi w:val="0"/>
        <w:adjustRightInd w:val="0"/>
        <w:snapToGrid/>
        <w:spacing w:line="550" w:lineRule="exact"/>
        <w:ind w:right="0" w:rightChars="0" w:firstLine="640" w:firstLineChars="200"/>
        <w:jc w:val="center"/>
        <w:textAlignment w:val="auto"/>
        <w:outlineLvl w:val="9"/>
        <w:rPr>
          <w:rFonts w:hint="default" w:ascii="Times New Roman" w:hAnsi="Times New Roman" w:eastAsia="方正小标宋_GBK" w:cs="Times New Roman"/>
          <w:sz w:val="44"/>
          <w:szCs w:val="44"/>
        </w:rPr>
      </w:pPr>
      <w:r>
        <w:rPr>
          <w:rFonts w:hint="eastAsia" w:ascii="Times New Roman" w:hAnsi="Times New Roman" w:eastAsia="方正仿宋_GBK" w:cs="Times New Roman"/>
          <w:sz w:val="32"/>
          <w:szCs w:val="32"/>
          <w:highlight w:val="none"/>
          <w:lang w:val="en-US" w:eastAsia="zh-CN"/>
        </w:rPr>
        <w:t>（此件公开发布）</w:t>
      </w:r>
      <w:r>
        <w:rPr>
          <w:rFonts w:hint="default" w:ascii="Times New Roman" w:hAnsi="Times New Roman" w:eastAsia="方正仿宋_GBK" w:cs="Times New Roman"/>
          <w:sz w:val="32"/>
          <w:szCs w:val="32"/>
          <w:highlight w:val="none"/>
          <w:lang w:val="en-US" w:eastAsia="zh-CN"/>
        </w:rPr>
        <w:br w:type="page"/>
      </w:r>
      <w:r>
        <w:rPr>
          <w:rFonts w:hint="default" w:ascii="Times New Roman" w:hAnsi="Times New Roman" w:eastAsia="方正小标宋_GBK" w:cs="Times New Roman"/>
          <w:sz w:val="44"/>
          <w:szCs w:val="44"/>
        </w:rPr>
        <w:t>黔江区居民服务</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一卡通</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工作推进方案</w:t>
      </w:r>
    </w:p>
    <w:p>
      <w:pPr>
        <w:spacing w:line="560" w:lineRule="exact"/>
        <w:rPr>
          <w:rFonts w:hint="default" w:ascii="Times New Roman" w:hAnsi="Times New Roman" w:eastAsia="方正仿宋_GBK" w:cs="Times New Roman"/>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仿宋_GBK" w:cs="Times New Roman"/>
          <w:sz w:val="32"/>
          <w:szCs w:val="48"/>
        </w:rPr>
        <w:t>为进一步贯彻习近平总书记关于</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要探索以社会保障卡为载体建立居民服务‘一卡通’，在交通出行、旅游观光、文化体验等方面率先实现‘同城待遇’</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的重要指示精神，根据《重庆市人民政府办公厅关于印发〈重庆市居民服务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工作方案〉的通知》（渝府办发〔2024〕73号）要求，全力推进以社会保障卡为载体建立居民服务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各项工作，进一步提升社会保障卡便民、惠民服务能力，切实增强人民群众获得感，结合我区实际，制定本方案。</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黑体_GBK" w:cs="Times New Roman"/>
          <w:sz w:val="32"/>
          <w:szCs w:val="48"/>
        </w:rPr>
      </w:pPr>
      <w:r>
        <w:rPr>
          <w:rFonts w:hint="default" w:ascii="Times New Roman" w:hAnsi="Times New Roman" w:eastAsia="方正黑体_GBK" w:cs="Times New Roman"/>
          <w:sz w:val="32"/>
          <w:szCs w:val="48"/>
        </w:rPr>
        <w:t>一、组织保障</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仿宋_GBK" w:cs="Times New Roman"/>
          <w:sz w:val="32"/>
          <w:szCs w:val="48"/>
        </w:rPr>
        <w:t>成立黔江区居民服务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工作专班，主要负责贯彻落实</w:t>
      </w:r>
      <w:r>
        <w:rPr>
          <w:rFonts w:hint="eastAsia" w:ascii="Times New Roman" w:hAnsi="Times New Roman" w:eastAsia="方正仿宋_GBK" w:cs="Times New Roman"/>
          <w:sz w:val="32"/>
          <w:szCs w:val="48"/>
          <w:lang w:eastAsia="zh-CN"/>
        </w:rPr>
        <w:t>区</w:t>
      </w:r>
      <w:r>
        <w:rPr>
          <w:rFonts w:hint="default" w:ascii="Times New Roman" w:hAnsi="Times New Roman" w:eastAsia="方正仿宋_GBK" w:cs="Times New Roman"/>
          <w:sz w:val="32"/>
          <w:szCs w:val="48"/>
        </w:rPr>
        <w:t>委、</w:t>
      </w:r>
      <w:r>
        <w:rPr>
          <w:rFonts w:hint="eastAsia" w:ascii="Times New Roman" w:hAnsi="Times New Roman" w:eastAsia="方正仿宋_GBK" w:cs="Times New Roman"/>
          <w:sz w:val="32"/>
          <w:szCs w:val="48"/>
          <w:lang w:eastAsia="zh-CN"/>
        </w:rPr>
        <w:t>区</w:t>
      </w:r>
      <w:r>
        <w:rPr>
          <w:rFonts w:hint="default" w:ascii="Times New Roman" w:hAnsi="Times New Roman" w:eastAsia="方正仿宋_GBK" w:cs="Times New Roman"/>
          <w:sz w:val="32"/>
          <w:szCs w:val="48"/>
        </w:rPr>
        <w:t>政府和各行业主管部门关于居民服务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工作的部署要求，全面</w:t>
      </w:r>
      <w:r>
        <w:rPr>
          <w:rFonts w:hint="eastAsia" w:ascii="Times New Roman" w:hAnsi="Times New Roman" w:eastAsia="方正仿宋_GBK" w:cs="Times New Roman"/>
          <w:sz w:val="32"/>
          <w:szCs w:val="48"/>
          <w:lang w:eastAsia="zh-CN"/>
        </w:rPr>
        <w:t>统筹</w:t>
      </w:r>
      <w:r>
        <w:rPr>
          <w:rFonts w:hint="default" w:ascii="Times New Roman" w:hAnsi="Times New Roman" w:eastAsia="方正仿宋_GBK" w:cs="Times New Roman"/>
          <w:sz w:val="32"/>
          <w:szCs w:val="48"/>
        </w:rPr>
        <w:t>黔江区居民服务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各项工作，推动解决重大问题，督促落实重大事项，确保高质量完成</w:t>
      </w:r>
      <w:r>
        <w:rPr>
          <w:rFonts w:hint="eastAsia" w:ascii="Times New Roman" w:hAnsi="Times New Roman" w:eastAsia="方正仿宋_GBK" w:cs="Times New Roman"/>
          <w:sz w:val="32"/>
          <w:szCs w:val="48"/>
          <w:lang w:eastAsia="zh-CN"/>
        </w:rPr>
        <w:t>改革</w:t>
      </w:r>
      <w:r>
        <w:rPr>
          <w:rFonts w:hint="default" w:ascii="Times New Roman" w:hAnsi="Times New Roman" w:eastAsia="方正仿宋_GBK" w:cs="Times New Roman"/>
          <w:sz w:val="32"/>
          <w:szCs w:val="48"/>
        </w:rPr>
        <w:t>任务。</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仿宋_GBK" w:cs="Times New Roman"/>
          <w:sz w:val="32"/>
          <w:szCs w:val="48"/>
        </w:rPr>
        <w:t>专班由区政府分管副区长任组长，区政府办公室副主任、区财政局局长、区人力社保局局长任副组长，成员为区纪委监委机关、区委宣传部、区委网信办、区政府办公室、区发展改革委、区教委、区经济信息委、区公安局、区民政局、区司法局、区财政局、区人力社保局、区住房城乡建委、区城市管理局、区交通运输委、区水利局、区农业农村委、区文化旅游委、区卫生健康委、区医保局、区林业局、区大数据发展局、区总工会、区残联、区行政服务中心、黔江区税务局、人行黔江分行分管负责人。</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仿宋_GBK" w:cs="Times New Roman"/>
          <w:sz w:val="32"/>
          <w:szCs w:val="48"/>
        </w:rPr>
        <w:t>工作专班办公室设在区人力社保局，由区人力社保局局长兼任办公室主任，区财政局、区人力社保局分管负责人</w:t>
      </w:r>
      <w:r>
        <w:rPr>
          <w:rFonts w:hint="eastAsia" w:ascii="Times New Roman" w:hAnsi="Times New Roman" w:eastAsia="方正仿宋_GBK" w:cs="Times New Roman"/>
          <w:sz w:val="32"/>
          <w:szCs w:val="48"/>
          <w:lang w:eastAsia="zh-CN"/>
        </w:rPr>
        <w:t>兼</w:t>
      </w:r>
      <w:r>
        <w:rPr>
          <w:rFonts w:hint="default" w:ascii="Times New Roman" w:hAnsi="Times New Roman" w:eastAsia="方正仿宋_GBK" w:cs="Times New Roman"/>
          <w:sz w:val="32"/>
          <w:szCs w:val="48"/>
        </w:rPr>
        <w:t>任办公室副主任。工作专班办公室</w:t>
      </w:r>
      <w:r>
        <w:rPr>
          <w:rFonts w:hint="eastAsia" w:ascii="Times New Roman" w:hAnsi="Times New Roman" w:eastAsia="方正仿宋_GBK" w:cs="Times New Roman"/>
          <w:sz w:val="32"/>
          <w:szCs w:val="48"/>
          <w:lang w:eastAsia="zh-CN"/>
        </w:rPr>
        <w:t>负责</w:t>
      </w:r>
      <w:r>
        <w:rPr>
          <w:rFonts w:hint="default" w:ascii="Times New Roman" w:hAnsi="Times New Roman" w:eastAsia="方正仿宋_GBK" w:cs="Times New Roman"/>
          <w:sz w:val="32"/>
          <w:szCs w:val="48"/>
        </w:rPr>
        <w:t>对接市级工作专班，对标全市推进计划和应用深度，指导、协调各部门推进居民服务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工作，定期汇总、汇报工作开展情况，推动各项建设任务及时完成，确保工作取得实效。</w:t>
      </w:r>
      <w:r>
        <w:rPr>
          <w:rFonts w:hint="eastAsia" w:ascii="Times New Roman" w:hAnsi="Times New Roman" w:eastAsia="方正仿宋_GBK" w:cs="Times New Roman"/>
          <w:sz w:val="32"/>
          <w:szCs w:val="48"/>
          <w:lang w:eastAsia="zh-CN"/>
        </w:rPr>
        <w:t>工作专班组成人员因工作变动需调整的，由其所在单位有关负责人自行替补，报专班办公室调整</w:t>
      </w:r>
      <w:r>
        <w:rPr>
          <w:rFonts w:hint="default" w:ascii="Times New Roman" w:hAnsi="Times New Roman" w:eastAsia="方正仿宋_GBK" w:cs="Times New Roman"/>
          <w:sz w:val="32"/>
          <w:szCs w:val="48"/>
        </w:rPr>
        <w:t>。</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黑体_GBK" w:cs="Times New Roman"/>
          <w:sz w:val="32"/>
          <w:szCs w:val="48"/>
        </w:rPr>
      </w:pPr>
      <w:r>
        <w:rPr>
          <w:rFonts w:hint="default" w:ascii="Times New Roman" w:hAnsi="Times New Roman" w:eastAsia="方正黑体_GBK" w:cs="Times New Roman"/>
          <w:sz w:val="32"/>
          <w:szCs w:val="48"/>
        </w:rPr>
        <w:t>二、工作目标</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仿宋_GBK" w:cs="Times New Roman"/>
          <w:sz w:val="32"/>
          <w:szCs w:val="48"/>
        </w:rPr>
        <w:t>紧扣全市工作目标和时间节点，分步实施、稳步推进。</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仿宋_GBK" w:cs="Times New Roman"/>
          <w:sz w:val="32"/>
          <w:szCs w:val="48"/>
        </w:rPr>
        <w:t>2025年底前，完成</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高效办成一件事</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任务清单涉及的就业和人力资源服务、社保服务、就医购药、交通出行、文化体验等事项。</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仿宋_GBK" w:cs="Times New Roman"/>
          <w:sz w:val="32"/>
          <w:szCs w:val="48"/>
        </w:rPr>
        <w:t>2026年底前，用卡环境更加完备，在各行业领域应用持续深入推进，全区居民服务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用卡功能普遍实现，跨区域</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应用初步形成。</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仿宋_GBK" w:cs="Times New Roman"/>
          <w:sz w:val="32"/>
          <w:szCs w:val="48"/>
        </w:rPr>
        <w:t>2027年底前，居民服务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管理体系成熟完备，在各行业领域得到广泛应用，跨区域</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应用基本实现。</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黑体_GBK" w:cs="Times New Roman"/>
          <w:sz w:val="32"/>
          <w:szCs w:val="48"/>
        </w:rPr>
      </w:pPr>
      <w:r>
        <w:rPr>
          <w:rFonts w:hint="default" w:ascii="Times New Roman" w:hAnsi="Times New Roman" w:eastAsia="方正黑体_GBK" w:cs="Times New Roman"/>
          <w:sz w:val="32"/>
          <w:szCs w:val="48"/>
        </w:rPr>
        <w:t>三、重点任务</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仿宋_GBK" w:cs="Times New Roman"/>
          <w:sz w:val="32"/>
          <w:szCs w:val="48"/>
        </w:rPr>
        <w:t>围绕全市居民服务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重点任务，拓展居民服务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服务领域、提升服务能力，增强群众体验感，为实现</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一卡多用、全市通用</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贡献黔江智慧。</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楷体_GBK" w:cs="Times New Roman"/>
          <w:sz w:val="32"/>
          <w:szCs w:val="48"/>
        </w:rPr>
        <w:t>（一）建立居民服务</w:t>
      </w:r>
      <w:r>
        <w:rPr>
          <w:rFonts w:hint="eastAsia" w:ascii="Times New Roman" w:hAnsi="Times New Roman" w:eastAsia="方正楷体_GBK" w:cs="Times New Roman"/>
          <w:sz w:val="32"/>
          <w:szCs w:val="48"/>
          <w:lang w:eastAsia="zh-CN"/>
        </w:rPr>
        <w:t>“</w:t>
      </w:r>
      <w:r>
        <w:rPr>
          <w:rFonts w:hint="default" w:ascii="Times New Roman" w:hAnsi="Times New Roman" w:eastAsia="方正楷体_GBK" w:cs="Times New Roman"/>
          <w:sz w:val="32"/>
          <w:szCs w:val="48"/>
        </w:rPr>
        <w:t>一卡通</w:t>
      </w:r>
      <w:r>
        <w:rPr>
          <w:rFonts w:hint="eastAsia" w:ascii="Times New Roman" w:hAnsi="Times New Roman" w:eastAsia="方正楷体_GBK" w:cs="Times New Roman"/>
          <w:sz w:val="32"/>
          <w:szCs w:val="48"/>
          <w:lang w:eastAsia="zh-CN"/>
        </w:rPr>
        <w:t>”</w:t>
      </w:r>
      <w:r>
        <w:rPr>
          <w:rFonts w:hint="default" w:ascii="Times New Roman" w:hAnsi="Times New Roman" w:eastAsia="方正楷体_GBK" w:cs="Times New Roman"/>
          <w:sz w:val="32"/>
          <w:szCs w:val="48"/>
        </w:rPr>
        <w:t>服务体系。</w:t>
      </w:r>
      <w:r>
        <w:rPr>
          <w:rFonts w:hint="default" w:ascii="Times New Roman" w:hAnsi="Times New Roman" w:eastAsia="方正仿宋_GBK" w:cs="Times New Roman"/>
          <w:sz w:val="32"/>
          <w:szCs w:val="48"/>
        </w:rPr>
        <w:t>贯彻落实好居民服务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政策法规，依据重庆市</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应用目录清单编制</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黔江区一卡通应用目录清单</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，对接</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管理平台，完善终端用卡环境，做好</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读卡扫码终端的部署改造，完成系统升级和接口改造，推进</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数据赋能。</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楷体_GBK" w:cs="Times New Roman"/>
          <w:sz w:val="32"/>
          <w:szCs w:val="48"/>
        </w:rPr>
        <w:t>（二）深化居民服务</w:t>
      </w:r>
      <w:r>
        <w:rPr>
          <w:rFonts w:hint="eastAsia" w:ascii="Times New Roman" w:hAnsi="Times New Roman" w:eastAsia="方正楷体_GBK" w:cs="Times New Roman"/>
          <w:sz w:val="32"/>
          <w:szCs w:val="48"/>
          <w:lang w:eastAsia="zh-CN"/>
        </w:rPr>
        <w:t>“</w:t>
      </w:r>
      <w:r>
        <w:rPr>
          <w:rFonts w:hint="default" w:ascii="Times New Roman" w:hAnsi="Times New Roman" w:eastAsia="方正楷体_GBK" w:cs="Times New Roman"/>
          <w:sz w:val="32"/>
          <w:szCs w:val="48"/>
        </w:rPr>
        <w:t>一卡通</w:t>
      </w:r>
      <w:r>
        <w:rPr>
          <w:rFonts w:hint="eastAsia" w:ascii="Times New Roman" w:hAnsi="Times New Roman" w:eastAsia="方正楷体_GBK" w:cs="Times New Roman"/>
          <w:sz w:val="32"/>
          <w:szCs w:val="48"/>
          <w:lang w:eastAsia="zh-CN"/>
        </w:rPr>
        <w:t>”</w:t>
      </w:r>
      <w:r>
        <w:rPr>
          <w:rFonts w:hint="default" w:ascii="Times New Roman" w:hAnsi="Times New Roman" w:eastAsia="方正楷体_GBK" w:cs="Times New Roman"/>
          <w:sz w:val="32"/>
          <w:szCs w:val="48"/>
        </w:rPr>
        <w:t>应用功能。</w:t>
      </w:r>
      <w:r>
        <w:rPr>
          <w:rFonts w:hint="default" w:ascii="Times New Roman" w:hAnsi="Times New Roman" w:eastAsia="方正仿宋_GBK" w:cs="Times New Roman"/>
          <w:sz w:val="32"/>
          <w:szCs w:val="48"/>
        </w:rPr>
        <w:t>逐步拓展社会保障卡身份识别、资金发放、缴费支付3大功能的应用深度，推进社会保障卡在人力社保、政务服务、医疗健康、交通出行、文化体验、教育服务、资金发放、金融支付等领域的广泛应用，逐步实现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全覆盖。</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楷体_GBK" w:cs="Times New Roman"/>
          <w:sz w:val="32"/>
          <w:szCs w:val="48"/>
        </w:rPr>
        <w:t>（三）创新居民服务</w:t>
      </w:r>
      <w:r>
        <w:rPr>
          <w:rFonts w:hint="eastAsia" w:ascii="Times New Roman" w:hAnsi="Times New Roman" w:eastAsia="方正楷体_GBK" w:cs="Times New Roman"/>
          <w:sz w:val="32"/>
          <w:szCs w:val="48"/>
          <w:lang w:eastAsia="zh-CN"/>
        </w:rPr>
        <w:t>“</w:t>
      </w:r>
      <w:r>
        <w:rPr>
          <w:rFonts w:hint="default" w:ascii="Times New Roman" w:hAnsi="Times New Roman" w:eastAsia="方正楷体_GBK" w:cs="Times New Roman"/>
          <w:sz w:val="32"/>
          <w:szCs w:val="48"/>
        </w:rPr>
        <w:t>一卡通</w:t>
      </w:r>
      <w:r>
        <w:rPr>
          <w:rFonts w:hint="eastAsia" w:ascii="Times New Roman" w:hAnsi="Times New Roman" w:eastAsia="方正楷体_GBK" w:cs="Times New Roman"/>
          <w:sz w:val="32"/>
          <w:szCs w:val="48"/>
          <w:lang w:eastAsia="zh-CN"/>
        </w:rPr>
        <w:t>”</w:t>
      </w:r>
      <w:r>
        <w:rPr>
          <w:rFonts w:hint="default" w:ascii="Times New Roman" w:hAnsi="Times New Roman" w:eastAsia="方正楷体_GBK" w:cs="Times New Roman"/>
          <w:sz w:val="32"/>
          <w:szCs w:val="48"/>
        </w:rPr>
        <w:t>应用场景。</w:t>
      </w:r>
      <w:r>
        <w:rPr>
          <w:rFonts w:hint="default" w:ascii="Times New Roman" w:hAnsi="Times New Roman" w:eastAsia="方正仿宋_GBK" w:cs="Times New Roman"/>
          <w:sz w:val="32"/>
          <w:szCs w:val="48"/>
        </w:rPr>
        <w:t>推动电子社保卡与</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渝快码</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互通互认，实现社会保障卡作为身份凭证在政务服务领域使用，提高群众办事便捷度。打造社区社会保障卡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服务样板间，实现持社会保障卡在社区享受业务经办、就餐、助浴、助医等便捷服务。探索社会保障卡校园</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，试点学生持社会保障卡进入校园、借阅图书、食堂消费等功能。探索建设社会保障卡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数字工地</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，新建工地实现持社会保障卡签订电子合同、打卡上工等功能，农民工工资通过社会保障卡银行账户发放。</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楷体_GBK" w:cs="Times New Roman"/>
          <w:sz w:val="32"/>
          <w:szCs w:val="48"/>
        </w:rPr>
        <w:t>（四）营造居民服务</w:t>
      </w:r>
      <w:r>
        <w:rPr>
          <w:rFonts w:hint="eastAsia" w:ascii="Times New Roman" w:hAnsi="Times New Roman" w:eastAsia="方正楷体_GBK" w:cs="Times New Roman"/>
          <w:sz w:val="32"/>
          <w:szCs w:val="48"/>
          <w:lang w:eastAsia="zh-CN"/>
        </w:rPr>
        <w:t>“</w:t>
      </w:r>
      <w:r>
        <w:rPr>
          <w:rFonts w:hint="default" w:ascii="Times New Roman" w:hAnsi="Times New Roman" w:eastAsia="方正楷体_GBK" w:cs="Times New Roman"/>
          <w:sz w:val="32"/>
          <w:szCs w:val="48"/>
        </w:rPr>
        <w:t>一卡通</w:t>
      </w:r>
      <w:r>
        <w:rPr>
          <w:rFonts w:hint="eastAsia" w:ascii="Times New Roman" w:hAnsi="Times New Roman" w:eastAsia="方正楷体_GBK" w:cs="Times New Roman"/>
          <w:sz w:val="32"/>
          <w:szCs w:val="48"/>
          <w:lang w:eastAsia="zh-CN"/>
        </w:rPr>
        <w:t>”</w:t>
      </w:r>
      <w:r>
        <w:rPr>
          <w:rFonts w:hint="default" w:ascii="Times New Roman" w:hAnsi="Times New Roman" w:eastAsia="方正楷体_GBK" w:cs="Times New Roman"/>
          <w:sz w:val="32"/>
          <w:szCs w:val="48"/>
        </w:rPr>
        <w:t>良好氛围。</w:t>
      </w:r>
      <w:r>
        <w:rPr>
          <w:rFonts w:hint="default" w:ascii="Times New Roman" w:hAnsi="Times New Roman" w:eastAsia="方正仿宋_GBK" w:cs="Times New Roman"/>
          <w:sz w:val="32"/>
          <w:szCs w:val="48"/>
        </w:rPr>
        <w:t>以社会保障卡惠民、便民服务为主线，在各自领域通过群众喜闻乐见的形式，加强场景式和沉浸式应用服务宣传，培养群众用卡习惯和意识，提高社会保障卡知名度和影响力，提高群众用卡的主动性和积极性，为推动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工作夯实群众基础。</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黑体_GBK" w:cs="Times New Roman"/>
          <w:sz w:val="32"/>
          <w:szCs w:val="48"/>
        </w:rPr>
      </w:pPr>
      <w:r>
        <w:rPr>
          <w:rFonts w:hint="default" w:ascii="Times New Roman" w:hAnsi="Times New Roman" w:eastAsia="方正黑体_GBK" w:cs="Times New Roman"/>
          <w:sz w:val="32"/>
          <w:szCs w:val="48"/>
        </w:rPr>
        <w:t>四、工作要求</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楷体_GBK" w:cs="Times New Roman"/>
          <w:sz w:val="32"/>
          <w:szCs w:val="48"/>
        </w:rPr>
        <w:t>（一）高度重视。</w:t>
      </w:r>
      <w:r>
        <w:rPr>
          <w:rFonts w:hint="default" w:ascii="Times New Roman" w:hAnsi="Times New Roman" w:eastAsia="方正仿宋_GBK" w:cs="Times New Roman"/>
          <w:sz w:val="32"/>
          <w:szCs w:val="48"/>
        </w:rPr>
        <w:t>各乡镇街道、区政府各部门要切实提高政治站位，深刻认识居民服务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工作的重要意义，持续加大宣传力度，积极动员广大干部职工及辖区居民，全力支持、共同推进我区居民服务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各项工作，加快构建齐抓共管、全民参与的工作格局。</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楷体_GBK" w:cs="Times New Roman"/>
          <w:sz w:val="32"/>
          <w:szCs w:val="48"/>
        </w:rPr>
        <w:t>（二）压实责任。</w:t>
      </w:r>
      <w:r>
        <w:rPr>
          <w:rFonts w:hint="default" w:ascii="Times New Roman" w:hAnsi="Times New Roman" w:eastAsia="方正仿宋_GBK" w:cs="Times New Roman"/>
          <w:sz w:val="32"/>
          <w:szCs w:val="48"/>
        </w:rPr>
        <w:t>工作专班各成员单位</w:t>
      </w:r>
      <w:r>
        <w:rPr>
          <w:rFonts w:hint="default" w:ascii="Times New Roman" w:hAnsi="Times New Roman" w:eastAsia="方正仿宋_GBK" w:cs="Times New Roman"/>
          <w:sz w:val="32"/>
          <w:szCs w:val="48"/>
          <w:lang w:val="en-US" w:eastAsia="zh-CN"/>
        </w:rPr>
        <w:t>要</w:t>
      </w:r>
      <w:r>
        <w:rPr>
          <w:rFonts w:hint="default" w:ascii="Times New Roman" w:hAnsi="Times New Roman" w:eastAsia="方正仿宋_GBK" w:cs="Times New Roman"/>
          <w:sz w:val="32"/>
          <w:szCs w:val="48"/>
        </w:rPr>
        <w:t>明确一名分管负责人和一名工作人员，制定工作子方案，细化措施、打表推进，要以季度为周期，主动向服务事项的责任单位报送本行业相关工作开展情况，各责任单位整理后于每季度末最后一周内报工作专班办公室汇总，专班办公室形成工作专报并及时报市级工作专班和区政府。</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楷体_GBK" w:cs="Times New Roman"/>
          <w:sz w:val="32"/>
          <w:szCs w:val="48"/>
        </w:rPr>
        <w:t>（三）明确分工。</w:t>
      </w:r>
      <w:r>
        <w:rPr>
          <w:rFonts w:hint="eastAsia" w:ascii="Times New Roman" w:hAnsi="Times New Roman" w:eastAsia="方正仿宋_GBK" w:cs="Times New Roman"/>
          <w:sz w:val="32"/>
          <w:szCs w:val="48"/>
          <w:lang w:eastAsia="zh-CN"/>
        </w:rPr>
        <w:t>专班</w:t>
      </w:r>
      <w:r>
        <w:rPr>
          <w:rFonts w:hint="default" w:ascii="Times New Roman" w:hAnsi="Times New Roman" w:eastAsia="方正仿宋_GBK" w:cs="Times New Roman"/>
          <w:sz w:val="32"/>
          <w:szCs w:val="48"/>
        </w:rPr>
        <w:t>办公室定期调度工作推进情况，统筹推进全区居民服务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工作落实落地。区人力社保局负责具体推进社会保障卡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一站式</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综合服务网点建设相关工作；区发展改革委负责做好居民服务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涉及发展改革领域的应用拓展和深化，配合居民服务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数字建设工作，推动区域居民服务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协同发展；区公安局牵头做好居民可信身份认证服务平台相关工作，确保社会保障卡身份识别功能；区财政局</w:t>
      </w:r>
      <w:r>
        <w:rPr>
          <w:rFonts w:hint="default" w:ascii="Times New Roman" w:hAnsi="Times New Roman" w:eastAsia="方正仿宋_GBK" w:cs="Times New Roman"/>
          <w:sz w:val="32"/>
          <w:szCs w:val="48"/>
          <w:lang w:eastAsia="zh-CN"/>
        </w:rPr>
        <w:t>做好资金保障</w:t>
      </w:r>
      <w:r>
        <w:rPr>
          <w:rFonts w:hint="default" w:ascii="Times New Roman" w:hAnsi="Times New Roman" w:eastAsia="方正仿宋_GBK" w:cs="Times New Roman"/>
          <w:sz w:val="32"/>
          <w:szCs w:val="48"/>
        </w:rPr>
        <w:t>及配合主管部门推送项目数据工作；区大数据发展局负责统筹推进数据共享，推动各部门和单位系统适应性技术改造；各建设任务牵头部门要配齐配强工作力量，建立定期沟通协调机制，形成同向发力、协同高效的工作体系。</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楷体_GBK" w:cs="Times New Roman"/>
          <w:sz w:val="32"/>
          <w:szCs w:val="48"/>
        </w:rPr>
        <w:t>（四）稳步推进。</w:t>
      </w:r>
      <w:r>
        <w:rPr>
          <w:rFonts w:hint="default" w:ascii="Times New Roman" w:hAnsi="Times New Roman" w:eastAsia="方正仿宋_GBK" w:cs="Times New Roman"/>
          <w:sz w:val="32"/>
          <w:szCs w:val="48"/>
        </w:rPr>
        <w:t>涉及惠民惠农补贴发放的，要确保新增发放人员通过社会保障卡领取相关待遇补贴，按项目、分批次逐步消化存量。涉及各项补贴补助发放的相关单位要及时做好社会保障卡账户更新，做到精准发放，对发放失败的及时处理、补发。对因换卡、账户合并等可能产生的舆情风险要完善应急预案，区委宣传部、区委网信办、区公安局要加强相关舆情收集，及时会同相关责任单位妥善处置。</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default" w:ascii="Times New Roman" w:hAnsi="Times New Roman" w:eastAsia="方正仿宋_GBK" w:cs="Times New Roman"/>
          <w:sz w:val="32"/>
          <w:szCs w:val="48"/>
        </w:rPr>
      </w:pPr>
      <w:r>
        <w:rPr>
          <w:rFonts w:hint="default" w:ascii="Times New Roman" w:hAnsi="Times New Roman" w:eastAsia="方正仿宋_GBK" w:cs="Times New Roman"/>
          <w:sz w:val="32"/>
          <w:szCs w:val="48"/>
        </w:rPr>
        <w:t>附件：1. 黔江区居民服务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建设任务分工</w:t>
      </w:r>
    </w:p>
    <w:p>
      <w:pPr>
        <w:keepNext w:val="0"/>
        <w:keepLines w:val="0"/>
        <w:pageBreakBefore w:val="0"/>
        <w:widowControl w:val="0"/>
        <w:kinsoku/>
        <w:wordWrap/>
        <w:overflowPunct/>
        <w:topLinePunct w:val="0"/>
        <w:autoSpaceDE/>
        <w:autoSpaceDN/>
        <w:bidi w:val="0"/>
        <w:adjustRightInd/>
        <w:snapToGrid/>
        <w:spacing w:line="579" w:lineRule="exact"/>
        <w:ind w:left="1596" w:leftChars="760" w:firstLine="0" w:firstLineChars="0"/>
        <w:textAlignment w:val="auto"/>
        <w:rPr>
          <w:rFonts w:hint="default" w:ascii="Times New Roman" w:hAnsi="Times New Roman" w:eastAsia="方正仿宋_GBK" w:cs="Times New Roman"/>
          <w:sz w:val="32"/>
          <w:szCs w:val="48"/>
        </w:rPr>
      </w:pPr>
      <w:r>
        <w:rPr>
          <w:rFonts w:hint="eastAsia" w:ascii="Times New Roman" w:hAnsi="Times New Roman" w:eastAsia="方正仿宋_GBK" w:cs="Times New Roman"/>
          <w:sz w:val="32"/>
          <w:szCs w:val="48"/>
          <w:lang w:val="en-US" w:eastAsia="zh-CN"/>
        </w:rPr>
        <w:t xml:space="preserve">2. </w:t>
      </w:r>
      <w:r>
        <w:rPr>
          <w:rFonts w:hint="default" w:ascii="Times New Roman" w:hAnsi="Times New Roman" w:eastAsia="方正仿宋_GBK" w:cs="Times New Roman"/>
          <w:sz w:val="32"/>
          <w:szCs w:val="48"/>
        </w:rPr>
        <w:t>黔江区居民服务</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一卡通</w:t>
      </w:r>
      <w:r>
        <w:rPr>
          <w:rFonts w:hint="eastAsia" w:ascii="Times New Roman" w:hAnsi="Times New Roman" w:eastAsia="方正仿宋_GBK" w:cs="Times New Roman"/>
          <w:sz w:val="32"/>
          <w:szCs w:val="48"/>
          <w:lang w:eastAsia="zh-CN"/>
        </w:rPr>
        <w:t>”</w:t>
      </w:r>
      <w:r>
        <w:rPr>
          <w:rFonts w:hint="default" w:ascii="Times New Roman" w:hAnsi="Times New Roman" w:eastAsia="方正仿宋_GBK" w:cs="Times New Roman"/>
          <w:sz w:val="32"/>
          <w:szCs w:val="48"/>
        </w:rPr>
        <w:t>工作专班责任单位联系名册</w:t>
      </w:r>
    </w:p>
    <w:p>
      <w:pPr>
        <w:spacing w:line="560" w:lineRule="exact"/>
        <w:ind w:firstLine="420" w:firstLineChars="200"/>
        <w:rPr>
          <w:rFonts w:hint="default" w:ascii="Times New Roman" w:hAnsi="Times New Roman" w:eastAsia="方正仿宋_GBK" w:cs="Times New Roman"/>
          <w:szCs w:val="32"/>
        </w:rPr>
      </w:pPr>
    </w:p>
    <w:p>
      <w:pPr>
        <w:spacing w:line="560" w:lineRule="exact"/>
        <w:ind w:firstLine="420" w:firstLineChars="200"/>
        <w:rPr>
          <w:rFonts w:hint="default" w:ascii="Times New Roman" w:hAnsi="Times New Roman" w:eastAsia="方正仿宋_GBK" w:cs="Times New Roman"/>
          <w:szCs w:val="32"/>
        </w:rPr>
      </w:pPr>
    </w:p>
    <w:p>
      <w:pPr>
        <w:spacing w:line="560" w:lineRule="exact"/>
        <w:ind w:firstLine="420" w:firstLineChars="200"/>
        <w:rPr>
          <w:rFonts w:hint="default" w:ascii="Times New Roman" w:hAnsi="Times New Roman" w:eastAsia="方正仿宋_GBK" w:cs="Times New Roman"/>
          <w:szCs w:val="32"/>
        </w:rPr>
        <w:sectPr>
          <w:footerReference r:id="rId3" w:type="default"/>
          <w:pgSz w:w="11906" w:h="16838"/>
          <w:pgMar w:top="2098" w:right="1474" w:bottom="1984" w:left="1587" w:header="851" w:footer="1474" w:gutter="0"/>
          <w:pgNumType w:fmt="decimal"/>
          <w:cols w:space="720" w:num="1"/>
          <w:docGrid w:type="lines" w:linePitch="318" w:charSpace="0"/>
        </w:sectPr>
      </w:pPr>
    </w:p>
    <w:p>
      <w:pPr>
        <w:spacing w:line="560" w:lineRule="exact"/>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附件1</w:t>
      </w:r>
    </w:p>
    <w:p>
      <w:pPr>
        <w:spacing w:line="56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黔江区居民服务</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一卡通</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建设任务分工</w:t>
      </w:r>
    </w:p>
    <w:p>
      <w:pPr>
        <w:spacing w:line="560" w:lineRule="exact"/>
        <w:rPr>
          <w:rFonts w:hint="default" w:ascii="Times New Roman" w:hAnsi="Times New Roman" w:eastAsia="方正仿宋_GBK" w:cs="Times New Roman"/>
          <w:szCs w:val="32"/>
        </w:rPr>
      </w:pPr>
    </w:p>
    <w:tbl>
      <w:tblPr>
        <w:tblStyle w:val="21"/>
        <w:tblW w:w="0" w:type="auto"/>
        <w:jc w:val="center"/>
        <w:tblLayout w:type="fixed"/>
        <w:tblCellMar>
          <w:top w:w="15" w:type="dxa"/>
          <w:left w:w="15" w:type="dxa"/>
          <w:bottom w:w="15" w:type="dxa"/>
          <w:right w:w="15" w:type="dxa"/>
        </w:tblCellMar>
      </w:tblPr>
      <w:tblGrid>
        <w:gridCol w:w="594"/>
        <w:gridCol w:w="688"/>
        <w:gridCol w:w="924"/>
        <w:gridCol w:w="1074"/>
        <w:gridCol w:w="964"/>
        <w:gridCol w:w="4648"/>
        <w:gridCol w:w="775"/>
        <w:gridCol w:w="887"/>
        <w:gridCol w:w="1025"/>
        <w:gridCol w:w="950"/>
        <w:gridCol w:w="945"/>
      </w:tblGrid>
      <w:tr>
        <w:tblPrEx>
          <w:tblCellMar>
            <w:top w:w="15" w:type="dxa"/>
            <w:left w:w="15" w:type="dxa"/>
            <w:bottom w:w="15" w:type="dxa"/>
            <w:right w:w="15" w:type="dxa"/>
          </w:tblCellMar>
        </w:tblPrEx>
        <w:trPr>
          <w:trHeight w:val="357" w:hRule="atLeast"/>
          <w:tblHeader/>
          <w:jc w:val="center"/>
        </w:trPr>
        <w:tc>
          <w:tcPr>
            <w:tcW w:w="59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黑体_GBK" w:cs="Times New Roman"/>
                <w:kern w:val="0"/>
                <w:sz w:val="21"/>
                <w:szCs w:val="21"/>
                <w:lang w:bidi="ar"/>
              </w:rPr>
            </w:pPr>
            <w:bookmarkStart w:id="3" w:name="OLE_LINK1" w:colFirst="0" w:colLast="11"/>
            <w:r>
              <w:rPr>
                <w:rFonts w:hint="default" w:ascii="Times New Roman" w:hAnsi="Times New Roman" w:eastAsia="方正黑体_GBK" w:cs="Times New Roman"/>
                <w:kern w:val="0"/>
                <w:sz w:val="21"/>
                <w:szCs w:val="21"/>
                <w:lang w:bidi="ar"/>
              </w:rPr>
              <w:t>序</w:t>
            </w:r>
          </w:p>
          <w:p>
            <w:pPr>
              <w:widowControl/>
              <w:spacing w:line="260" w:lineRule="exact"/>
              <w:jc w:val="center"/>
              <w:textAlignment w:val="center"/>
              <w:rPr>
                <w:rFonts w:hint="default" w:ascii="Times New Roman" w:hAnsi="Times New Roman" w:eastAsia="方正黑体_GBK" w:cs="Times New Roman"/>
                <w:sz w:val="21"/>
                <w:szCs w:val="21"/>
              </w:rPr>
            </w:pPr>
            <w:r>
              <w:rPr>
                <w:rFonts w:hint="default" w:ascii="Times New Roman" w:hAnsi="Times New Roman" w:eastAsia="方正黑体_GBK" w:cs="Times New Roman"/>
                <w:kern w:val="0"/>
                <w:sz w:val="21"/>
                <w:szCs w:val="21"/>
                <w:lang w:bidi="ar"/>
              </w:rPr>
              <w:t>号</w:t>
            </w:r>
          </w:p>
        </w:tc>
        <w:tc>
          <w:tcPr>
            <w:tcW w:w="68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黑体_GBK" w:cs="Times New Roman"/>
                <w:sz w:val="21"/>
                <w:szCs w:val="21"/>
              </w:rPr>
            </w:pPr>
            <w:r>
              <w:rPr>
                <w:rFonts w:hint="default" w:ascii="Times New Roman" w:hAnsi="Times New Roman" w:eastAsia="方正黑体_GBK" w:cs="Times New Roman"/>
                <w:kern w:val="0"/>
                <w:sz w:val="21"/>
                <w:szCs w:val="21"/>
                <w:lang w:bidi="ar"/>
              </w:rPr>
              <w:t>类别</w:t>
            </w:r>
          </w:p>
        </w:tc>
        <w:tc>
          <w:tcPr>
            <w:tcW w:w="92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黑体_GBK" w:cs="Times New Roman"/>
                <w:kern w:val="0"/>
                <w:sz w:val="21"/>
                <w:szCs w:val="21"/>
                <w:lang w:bidi="ar"/>
              </w:rPr>
            </w:pPr>
            <w:r>
              <w:rPr>
                <w:rFonts w:hint="default" w:ascii="Times New Roman" w:hAnsi="Times New Roman" w:eastAsia="方正黑体_GBK" w:cs="Times New Roman"/>
                <w:kern w:val="0"/>
                <w:sz w:val="21"/>
                <w:szCs w:val="21"/>
                <w:lang w:bidi="ar"/>
              </w:rPr>
              <w:t>责任</w:t>
            </w:r>
          </w:p>
          <w:p>
            <w:pPr>
              <w:widowControl/>
              <w:spacing w:line="260" w:lineRule="exact"/>
              <w:jc w:val="center"/>
              <w:textAlignment w:val="center"/>
              <w:rPr>
                <w:rFonts w:hint="default" w:ascii="Times New Roman" w:hAnsi="Times New Roman" w:eastAsia="方正黑体_GBK" w:cs="Times New Roman"/>
                <w:sz w:val="21"/>
                <w:szCs w:val="21"/>
              </w:rPr>
            </w:pPr>
            <w:r>
              <w:rPr>
                <w:rFonts w:hint="default" w:ascii="Times New Roman" w:hAnsi="Times New Roman" w:eastAsia="方正黑体_GBK" w:cs="Times New Roman"/>
                <w:kern w:val="0"/>
                <w:sz w:val="21"/>
                <w:szCs w:val="21"/>
                <w:lang w:bidi="ar"/>
              </w:rPr>
              <w:t>单位</w:t>
            </w:r>
          </w:p>
        </w:tc>
        <w:tc>
          <w:tcPr>
            <w:tcW w:w="107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黑体_GBK" w:cs="Times New Roman"/>
                <w:sz w:val="21"/>
                <w:szCs w:val="21"/>
              </w:rPr>
            </w:pPr>
            <w:r>
              <w:rPr>
                <w:rFonts w:hint="default" w:ascii="Times New Roman" w:hAnsi="Times New Roman" w:eastAsia="方正黑体_GBK" w:cs="Times New Roman"/>
                <w:kern w:val="0"/>
                <w:sz w:val="21"/>
                <w:szCs w:val="21"/>
                <w:lang w:bidi="ar"/>
              </w:rPr>
              <w:t>配合单位</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黑体_GBK" w:cs="Times New Roman"/>
                <w:sz w:val="21"/>
                <w:szCs w:val="21"/>
              </w:rPr>
            </w:pPr>
            <w:r>
              <w:rPr>
                <w:rFonts w:hint="default" w:ascii="Times New Roman" w:hAnsi="Times New Roman" w:eastAsia="方正黑体_GBK" w:cs="Times New Roman"/>
                <w:kern w:val="0"/>
                <w:sz w:val="21"/>
                <w:szCs w:val="21"/>
                <w:lang w:bidi="ar"/>
              </w:rPr>
              <w:t>服务事项</w:t>
            </w:r>
          </w:p>
        </w:tc>
        <w:tc>
          <w:tcPr>
            <w:tcW w:w="464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黑体_GBK" w:cs="Times New Roman"/>
                <w:sz w:val="21"/>
                <w:szCs w:val="21"/>
              </w:rPr>
            </w:pPr>
            <w:r>
              <w:rPr>
                <w:rFonts w:hint="default" w:ascii="Times New Roman" w:hAnsi="Times New Roman" w:eastAsia="方正黑体_GBK" w:cs="Times New Roman"/>
                <w:kern w:val="0"/>
                <w:sz w:val="21"/>
                <w:szCs w:val="21"/>
                <w:lang w:bidi="ar"/>
              </w:rPr>
              <w:t>具体内容</w:t>
            </w:r>
          </w:p>
        </w:tc>
        <w:tc>
          <w:tcPr>
            <w:tcW w:w="77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黑体_GBK" w:cs="Times New Roman"/>
                <w:kern w:val="0"/>
                <w:sz w:val="21"/>
                <w:szCs w:val="21"/>
                <w:lang w:bidi="ar"/>
              </w:rPr>
            </w:pPr>
            <w:r>
              <w:rPr>
                <w:rFonts w:hint="default" w:ascii="Times New Roman" w:hAnsi="Times New Roman" w:eastAsia="方正黑体_GBK" w:cs="Times New Roman"/>
                <w:kern w:val="0"/>
                <w:sz w:val="21"/>
                <w:szCs w:val="21"/>
                <w:lang w:bidi="ar"/>
              </w:rPr>
              <w:t>用卡</w:t>
            </w:r>
          </w:p>
          <w:p>
            <w:pPr>
              <w:widowControl/>
              <w:spacing w:line="260" w:lineRule="exact"/>
              <w:jc w:val="center"/>
              <w:textAlignment w:val="center"/>
              <w:rPr>
                <w:rFonts w:hint="default" w:ascii="Times New Roman" w:hAnsi="Times New Roman" w:eastAsia="方正黑体_GBK" w:cs="Times New Roman"/>
                <w:sz w:val="21"/>
                <w:szCs w:val="21"/>
              </w:rPr>
            </w:pPr>
            <w:r>
              <w:rPr>
                <w:rFonts w:hint="default" w:ascii="Times New Roman" w:hAnsi="Times New Roman" w:eastAsia="方正黑体_GBK" w:cs="Times New Roman"/>
                <w:kern w:val="0"/>
                <w:sz w:val="21"/>
                <w:szCs w:val="21"/>
                <w:lang w:bidi="ar"/>
              </w:rPr>
              <w:t>方式</w:t>
            </w:r>
          </w:p>
        </w:tc>
        <w:tc>
          <w:tcPr>
            <w:tcW w:w="88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黑体_GBK" w:cs="Times New Roman"/>
                <w:sz w:val="21"/>
                <w:szCs w:val="21"/>
              </w:rPr>
            </w:pPr>
            <w:r>
              <w:rPr>
                <w:rFonts w:hint="default" w:ascii="Times New Roman" w:hAnsi="Times New Roman" w:eastAsia="方正黑体_GBK" w:cs="Times New Roman"/>
                <w:kern w:val="0"/>
                <w:sz w:val="21"/>
                <w:szCs w:val="21"/>
                <w:lang w:bidi="ar"/>
              </w:rPr>
              <w:t>应用类别</w:t>
            </w:r>
          </w:p>
        </w:tc>
        <w:tc>
          <w:tcPr>
            <w:tcW w:w="2920"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黑体_GBK" w:cs="Times New Roman"/>
                <w:sz w:val="21"/>
                <w:szCs w:val="21"/>
              </w:rPr>
            </w:pPr>
            <w:r>
              <w:rPr>
                <w:rFonts w:hint="default" w:ascii="Times New Roman" w:hAnsi="Times New Roman" w:eastAsia="方正黑体_GBK" w:cs="Times New Roman"/>
                <w:kern w:val="0"/>
                <w:sz w:val="21"/>
                <w:szCs w:val="21"/>
                <w:lang w:bidi="ar"/>
              </w:rPr>
              <w:t>推进计划（应用深度）</w:t>
            </w:r>
          </w:p>
        </w:tc>
      </w:tr>
      <w:tr>
        <w:tblPrEx>
          <w:tblCellMar>
            <w:top w:w="15" w:type="dxa"/>
            <w:left w:w="15" w:type="dxa"/>
            <w:bottom w:w="15" w:type="dxa"/>
            <w:right w:w="15" w:type="dxa"/>
          </w:tblCellMar>
        </w:tblPrEx>
        <w:trPr>
          <w:trHeight w:val="90" w:hRule="atLeast"/>
          <w:tblHeader/>
          <w:jc w:val="center"/>
        </w:trPr>
        <w:tc>
          <w:tcPr>
            <w:tcW w:w="59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464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775"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887"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黑体_GBK" w:cs="Times New Roman"/>
                <w:kern w:val="0"/>
                <w:sz w:val="21"/>
                <w:szCs w:val="21"/>
                <w:lang w:bidi="ar"/>
              </w:rPr>
            </w:pPr>
            <w:r>
              <w:rPr>
                <w:rFonts w:hint="default" w:ascii="Times New Roman" w:hAnsi="Times New Roman" w:eastAsia="方正黑体_GBK" w:cs="Times New Roman"/>
                <w:kern w:val="0"/>
                <w:sz w:val="21"/>
                <w:szCs w:val="21"/>
                <w:lang w:bidi="ar"/>
              </w:rPr>
              <w:t>2025</w:t>
            </w:r>
          </w:p>
          <w:p>
            <w:pPr>
              <w:widowControl/>
              <w:spacing w:line="260" w:lineRule="exact"/>
              <w:jc w:val="center"/>
              <w:textAlignment w:val="top"/>
              <w:rPr>
                <w:rFonts w:hint="default" w:ascii="Times New Roman" w:hAnsi="Times New Roman" w:eastAsia="方正黑体_GBK" w:cs="Times New Roman"/>
                <w:sz w:val="21"/>
                <w:szCs w:val="21"/>
              </w:rPr>
            </w:pPr>
            <w:r>
              <w:rPr>
                <w:rStyle w:val="35"/>
                <w:rFonts w:hint="default" w:ascii="Times New Roman" w:hAnsi="Times New Roman" w:eastAsia="方正黑体_GBK" w:cs="Times New Roman"/>
                <w:color w:val="auto"/>
                <w:sz w:val="21"/>
                <w:szCs w:val="21"/>
                <w:lang w:bidi="ar"/>
              </w:rPr>
              <w:t>年底</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黑体_GBK" w:cs="Times New Roman"/>
                <w:kern w:val="0"/>
                <w:sz w:val="21"/>
                <w:szCs w:val="21"/>
                <w:lang w:bidi="ar"/>
              </w:rPr>
            </w:pPr>
            <w:r>
              <w:rPr>
                <w:rFonts w:hint="default" w:ascii="Times New Roman" w:hAnsi="Times New Roman" w:eastAsia="方正黑体_GBK" w:cs="Times New Roman"/>
                <w:kern w:val="0"/>
                <w:sz w:val="21"/>
                <w:szCs w:val="21"/>
                <w:lang w:bidi="ar"/>
              </w:rPr>
              <w:t>2026</w:t>
            </w:r>
          </w:p>
          <w:p>
            <w:pPr>
              <w:widowControl/>
              <w:spacing w:line="260" w:lineRule="exact"/>
              <w:jc w:val="center"/>
              <w:textAlignment w:val="top"/>
              <w:rPr>
                <w:rFonts w:hint="default" w:ascii="Times New Roman" w:hAnsi="Times New Roman" w:eastAsia="方正黑体_GBK" w:cs="Times New Roman"/>
                <w:sz w:val="21"/>
                <w:szCs w:val="21"/>
              </w:rPr>
            </w:pPr>
            <w:r>
              <w:rPr>
                <w:rStyle w:val="35"/>
                <w:rFonts w:hint="default" w:ascii="Times New Roman" w:hAnsi="Times New Roman" w:eastAsia="方正黑体_GBK" w:cs="Times New Roman"/>
                <w:color w:val="auto"/>
                <w:sz w:val="21"/>
                <w:szCs w:val="21"/>
                <w:lang w:bidi="ar"/>
              </w:rPr>
              <w:t>年底</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黑体_GBK" w:cs="Times New Roman"/>
                <w:kern w:val="0"/>
                <w:sz w:val="21"/>
                <w:szCs w:val="21"/>
                <w:lang w:bidi="ar"/>
              </w:rPr>
            </w:pPr>
            <w:r>
              <w:rPr>
                <w:rFonts w:hint="default" w:ascii="Times New Roman" w:hAnsi="Times New Roman" w:eastAsia="方正黑体_GBK" w:cs="Times New Roman"/>
                <w:kern w:val="0"/>
                <w:sz w:val="21"/>
                <w:szCs w:val="21"/>
                <w:lang w:bidi="ar"/>
              </w:rPr>
              <w:t>2027</w:t>
            </w:r>
          </w:p>
          <w:p>
            <w:pPr>
              <w:widowControl/>
              <w:spacing w:line="260" w:lineRule="exact"/>
              <w:jc w:val="center"/>
              <w:textAlignment w:val="top"/>
              <w:rPr>
                <w:rFonts w:hint="default" w:ascii="Times New Roman" w:hAnsi="Times New Roman" w:eastAsia="方正黑体_GBK" w:cs="Times New Roman"/>
                <w:sz w:val="21"/>
                <w:szCs w:val="21"/>
              </w:rPr>
            </w:pPr>
            <w:r>
              <w:rPr>
                <w:rStyle w:val="35"/>
                <w:rFonts w:hint="default" w:ascii="Times New Roman" w:hAnsi="Times New Roman" w:eastAsia="方正黑体_GBK" w:cs="Times New Roman"/>
                <w:color w:val="auto"/>
                <w:sz w:val="21"/>
                <w:szCs w:val="21"/>
                <w:lang w:bidi="ar"/>
              </w:rPr>
              <w:t>年底</w:t>
            </w:r>
          </w:p>
        </w:tc>
      </w:tr>
      <w:tr>
        <w:tblPrEx>
          <w:tblCellMar>
            <w:top w:w="15" w:type="dxa"/>
            <w:left w:w="15" w:type="dxa"/>
            <w:bottom w:w="15" w:type="dxa"/>
            <w:right w:w="15" w:type="dxa"/>
          </w:tblCellMar>
        </w:tblPrEx>
        <w:trPr>
          <w:trHeight w:val="1510"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1</w:t>
            </w:r>
          </w:p>
        </w:tc>
        <w:tc>
          <w:tcPr>
            <w:tcW w:w="688" w:type="dxa"/>
            <w:vMerge w:val="restart"/>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事项类</w:t>
            </w:r>
          </w:p>
        </w:tc>
        <w:tc>
          <w:tcPr>
            <w:tcW w:w="924" w:type="dxa"/>
            <w:vMerge w:val="restart"/>
            <w:tcBorders>
              <w:top w:val="single" w:color="000000" w:sz="4" w:space="0"/>
              <w:left w:val="single" w:color="000000" w:sz="4" w:space="0"/>
              <w:bottom w:val="nil"/>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w:t>
            </w:r>
          </w:p>
        </w:tc>
        <w:tc>
          <w:tcPr>
            <w:tcW w:w="1074" w:type="dxa"/>
            <w:vMerge w:val="restart"/>
            <w:tcBorders>
              <w:top w:val="single" w:color="000000" w:sz="4" w:space="0"/>
              <w:left w:val="single" w:color="000000" w:sz="4" w:space="0"/>
              <w:bottom w:val="nil"/>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区级有关部门</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就业创业服务</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就业失业登记、就业援助、流动人员人事档案接收转递申请及相关信息查询等服务；公益性岗位补贴、职业培训补贴或生活费补贴、职业技能鉴定补贴、失业保险、一次性求职创业补贴、一次性创业补贴等资金领取；创业担保贷款发放等。</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实体卡</w:t>
            </w:r>
          </w:p>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身份识别</w:t>
            </w:r>
          </w:p>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资金发放</w:t>
            </w:r>
          </w:p>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缴费支付</w:t>
            </w:r>
          </w:p>
        </w:tc>
        <w:tc>
          <w:tcPr>
            <w:tcW w:w="2920" w:type="dxa"/>
            <w:gridSpan w:val="3"/>
            <w:vMerge w:val="restart"/>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507"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2</w:t>
            </w:r>
          </w:p>
        </w:tc>
        <w:tc>
          <w:tcPr>
            <w:tcW w:w="688" w:type="dxa"/>
            <w:vMerge w:val="continue"/>
            <w:tcBorders>
              <w:top w:val="nil"/>
              <w:left w:val="single" w:color="000000" w:sz="4" w:space="0"/>
              <w:bottom w:val="nil"/>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nil"/>
              <w:left w:val="single" w:color="000000" w:sz="4" w:space="0"/>
              <w:bottom w:val="nil"/>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nil"/>
              <w:left w:val="single" w:color="000000" w:sz="4" w:space="0"/>
              <w:bottom w:val="nil"/>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社会保险公共服务</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个人参保登记、个人参保证明、社会保险个人权益记录、职业年金个人权益记录、个人参保信息查询打印，基金监督举报投诉等事项；基金监督举报奖励领取，</w:t>
            </w:r>
            <w:r>
              <w:rPr>
                <w:rStyle w:val="35"/>
                <w:rFonts w:hint="default" w:ascii="Times New Roman" w:hAnsi="Times New Roman" w:eastAsia="方正仿宋_GBK" w:cs="Times New Roman"/>
                <w:color w:val="auto"/>
                <w:sz w:val="21"/>
                <w:szCs w:val="21"/>
                <w:lang w:bidi="ar"/>
              </w:rPr>
              <w:t>养老、工伤、失业等待遇领取。</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实体卡</w:t>
            </w:r>
          </w:p>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身份识别</w:t>
            </w:r>
          </w:p>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资金发放</w:t>
            </w:r>
          </w:p>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缴费支付</w:t>
            </w:r>
          </w:p>
        </w:tc>
        <w:tc>
          <w:tcPr>
            <w:tcW w:w="2920" w:type="dxa"/>
            <w:gridSpan w:val="3"/>
            <w:vMerge w:val="continue"/>
            <w:tcBorders>
              <w:top w:val="nil"/>
              <w:left w:val="single" w:color="000000" w:sz="4" w:space="0"/>
              <w:bottom w:val="nil"/>
              <w:right w:val="single" w:color="000000" w:sz="4" w:space="0"/>
            </w:tcBorders>
            <w:noWrap w:val="0"/>
            <w:vAlign w:val="center"/>
          </w:tcPr>
          <w:p>
            <w:pPr>
              <w:rPr>
                <w:rFonts w:hint="default" w:ascii="Times New Roman" w:hAnsi="Times New Roman" w:cs="Times New Roman"/>
              </w:rPr>
            </w:pPr>
          </w:p>
        </w:tc>
      </w:tr>
      <w:tr>
        <w:tblPrEx>
          <w:tblCellMar>
            <w:top w:w="15" w:type="dxa"/>
            <w:left w:w="15" w:type="dxa"/>
            <w:bottom w:w="15" w:type="dxa"/>
            <w:right w:w="15" w:type="dxa"/>
          </w:tblCellMar>
        </w:tblPrEx>
        <w:trPr>
          <w:trHeight w:val="1901"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3</w:t>
            </w:r>
          </w:p>
        </w:tc>
        <w:tc>
          <w:tcPr>
            <w:tcW w:w="688" w:type="dxa"/>
            <w:vMerge w:val="continue"/>
            <w:tcBorders>
              <w:top w:val="nil"/>
              <w:left w:val="single" w:color="000000" w:sz="4" w:space="0"/>
              <w:bottom w:val="single" w:color="auto"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nil"/>
              <w:left w:val="single" w:color="000000" w:sz="4" w:space="0"/>
              <w:bottom w:val="single" w:color="auto"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nil"/>
              <w:left w:val="single" w:color="000000" w:sz="4" w:space="0"/>
              <w:bottom w:val="single" w:color="auto"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人事人才服务</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专技、人事考试报名认证，成绩、证书、培训信息查询，职业培训实名登记等事项；人事考试、职业培训、技能鉴定评价缴费等服务；职业技能电子培训券发放；职业技能提升培训生活费（含交通费）等补贴领取。</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实体卡</w:t>
            </w:r>
          </w:p>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身份识别</w:t>
            </w:r>
          </w:p>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资金发放</w:t>
            </w:r>
          </w:p>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缴费支付</w:t>
            </w:r>
          </w:p>
        </w:tc>
        <w:tc>
          <w:tcPr>
            <w:tcW w:w="2920" w:type="dxa"/>
            <w:gridSpan w:val="3"/>
            <w:vMerge w:val="continue"/>
            <w:tcBorders>
              <w:top w:val="nil"/>
              <w:left w:val="single" w:color="000000" w:sz="4" w:space="0"/>
              <w:bottom w:val="single" w:color="auto" w:sz="4" w:space="0"/>
              <w:right w:val="single" w:color="000000" w:sz="4" w:space="0"/>
            </w:tcBorders>
            <w:noWrap w:val="0"/>
            <w:vAlign w:val="center"/>
          </w:tcPr>
          <w:p>
            <w:pPr>
              <w:rPr>
                <w:rFonts w:hint="default" w:ascii="Times New Roman" w:hAnsi="Times New Roman" w:cs="Times New Roman"/>
              </w:rPr>
            </w:pPr>
          </w:p>
        </w:tc>
      </w:tr>
      <w:tr>
        <w:tblPrEx>
          <w:tblCellMar>
            <w:top w:w="15" w:type="dxa"/>
            <w:left w:w="15" w:type="dxa"/>
            <w:bottom w:w="15" w:type="dxa"/>
            <w:right w:w="15" w:type="dxa"/>
          </w:tblCellMar>
        </w:tblPrEx>
        <w:trPr>
          <w:trHeight w:val="1662"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4</w:t>
            </w:r>
          </w:p>
        </w:tc>
        <w:tc>
          <w:tcPr>
            <w:tcW w:w="688" w:type="dxa"/>
            <w:vMerge w:val="restart"/>
            <w:tcBorders>
              <w:top w:val="single" w:color="auto" w:sz="4" w:space="0"/>
              <w:left w:val="single" w:color="000000" w:sz="4" w:space="0"/>
              <w:bottom w:val="nil"/>
              <w:right w:val="single" w:color="000000" w:sz="4" w:space="0"/>
            </w:tcBorders>
            <w:noWrap w:val="0"/>
            <w:vAlign w:val="center"/>
          </w:tcPr>
          <w:p>
            <w:pPr>
              <w:widowControl/>
              <w:spacing w:line="260" w:lineRule="exact"/>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事项类</w:t>
            </w:r>
          </w:p>
        </w:tc>
        <w:tc>
          <w:tcPr>
            <w:tcW w:w="924" w:type="dxa"/>
            <w:vMerge w:val="restart"/>
            <w:tcBorders>
              <w:top w:val="single" w:color="auto" w:sz="4" w:space="0"/>
              <w:left w:val="single" w:color="000000" w:sz="4" w:space="0"/>
              <w:bottom w:val="nil"/>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w:t>
            </w:r>
          </w:p>
        </w:tc>
        <w:tc>
          <w:tcPr>
            <w:tcW w:w="1074"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left"/>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区级有关部门</w:t>
            </w:r>
          </w:p>
        </w:tc>
        <w:tc>
          <w:tcPr>
            <w:tcW w:w="964"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劳动关系服务</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劳动合同信息查询、劳动人事争议调解申请、调解信息查询、仲裁申请、仲裁信息查询、仲裁现场庭审等事项；劳动保障监察投诉、举报、劳动保障监察案件查询、农民工上工实名登记管理等服务；仲裁赔偿金领取、农民工工资等资金领取。</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实体卡</w:t>
            </w:r>
          </w:p>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身份识别</w:t>
            </w:r>
          </w:p>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资金发放</w:t>
            </w:r>
          </w:p>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缴费支付</w:t>
            </w:r>
          </w:p>
        </w:tc>
        <w:tc>
          <w:tcPr>
            <w:tcW w:w="2920" w:type="dxa"/>
            <w:gridSpan w:val="3"/>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三级</w:t>
            </w:r>
          </w:p>
        </w:tc>
      </w:tr>
      <w:tr>
        <w:tblPrEx>
          <w:tblCellMar>
            <w:top w:w="15" w:type="dxa"/>
            <w:left w:w="15" w:type="dxa"/>
            <w:bottom w:w="15" w:type="dxa"/>
            <w:right w:w="15" w:type="dxa"/>
          </w:tblCellMar>
        </w:tblPrEx>
        <w:trPr>
          <w:trHeight w:val="989"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5</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nil"/>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区住房城乡建委、区水利局</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社会保障卡数字工地</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新建工地实现持社会保障卡签订电子合同、打卡上工，农民工工资通过社会保障卡银行账户发放。</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实体卡</w:t>
            </w:r>
          </w:p>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身份识别</w:t>
            </w:r>
          </w:p>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资金发放</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一级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116"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6</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区发展改革委</w:t>
            </w:r>
          </w:p>
        </w:tc>
        <w:tc>
          <w:tcPr>
            <w:tcW w:w="107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lang w:eastAsia="zh-CN"/>
              </w:rPr>
            </w:pPr>
            <w:r>
              <w:rPr>
                <w:rFonts w:hint="default" w:ascii="Times New Roman" w:hAnsi="Times New Roman" w:eastAsia="方正仿宋_GBK" w:cs="Times New Roman"/>
                <w:kern w:val="0"/>
                <w:sz w:val="21"/>
                <w:szCs w:val="21"/>
                <w:lang w:bidi="ar"/>
              </w:rPr>
              <w:t>区域</w:t>
            </w:r>
            <w:r>
              <w:rPr>
                <w:rStyle w:val="35"/>
                <w:rFonts w:hint="eastAsia" w:ascii="Times New Roman" w:hAnsi="Times New Roman" w:eastAsia="方正仿宋_GBK" w:cs="Times New Roman"/>
                <w:color w:val="auto"/>
                <w:sz w:val="21"/>
                <w:szCs w:val="21"/>
                <w:lang w:eastAsia="zh-CN" w:bidi="ar"/>
              </w:rPr>
              <w:t>“</w:t>
            </w:r>
            <w:r>
              <w:rPr>
                <w:rStyle w:val="35"/>
                <w:rFonts w:hint="default" w:ascii="Times New Roman" w:hAnsi="Times New Roman" w:eastAsia="方正仿宋_GBK" w:cs="Times New Roman"/>
                <w:color w:val="auto"/>
                <w:sz w:val="21"/>
                <w:szCs w:val="21"/>
                <w:lang w:bidi="ar"/>
              </w:rPr>
              <w:t>一卡通</w:t>
            </w:r>
            <w:r>
              <w:rPr>
                <w:rStyle w:val="35"/>
                <w:rFonts w:hint="eastAsia" w:ascii="Times New Roman" w:hAnsi="Times New Roman" w:eastAsia="方正仿宋_GBK" w:cs="Times New Roman"/>
                <w:color w:val="auto"/>
                <w:sz w:val="21"/>
                <w:szCs w:val="21"/>
                <w:lang w:eastAsia="zh-CN" w:bidi="ar"/>
              </w:rPr>
              <w:t>”</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Style w:val="35"/>
                <w:rFonts w:hint="default" w:ascii="Times New Roman" w:hAnsi="Times New Roman" w:eastAsia="方正仿宋_GBK" w:cs="Times New Roman"/>
                <w:color w:val="auto"/>
                <w:sz w:val="21"/>
                <w:szCs w:val="21"/>
                <w:lang w:bidi="ar"/>
              </w:rPr>
              <w:t>按照全市统一安排部署，</w:t>
            </w:r>
            <w:r>
              <w:rPr>
                <w:rFonts w:hint="default" w:ascii="Times New Roman" w:hAnsi="Times New Roman" w:eastAsia="方正仿宋_GBK" w:cs="Times New Roman"/>
                <w:kern w:val="0"/>
                <w:sz w:val="21"/>
                <w:szCs w:val="21"/>
                <w:lang w:bidi="ar"/>
              </w:rPr>
              <w:t>贯彻落实好区域</w:t>
            </w:r>
            <w:r>
              <w:rPr>
                <w:rFonts w:hint="eastAsia" w:ascii="Times New Roman" w:hAnsi="Times New Roman" w:eastAsia="方正仿宋_GBK" w:cs="Times New Roman"/>
                <w:kern w:val="0"/>
                <w:sz w:val="21"/>
                <w:szCs w:val="21"/>
                <w:lang w:eastAsia="zh-CN" w:bidi="ar"/>
              </w:rPr>
              <w:t>“</w:t>
            </w:r>
            <w:r>
              <w:rPr>
                <w:rFonts w:hint="default" w:ascii="Times New Roman" w:hAnsi="Times New Roman" w:eastAsia="方正仿宋_GBK" w:cs="Times New Roman"/>
                <w:kern w:val="0"/>
                <w:sz w:val="21"/>
                <w:szCs w:val="21"/>
                <w:lang w:bidi="ar"/>
              </w:rPr>
              <w:t>一卡通</w:t>
            </w:r>
            <w:r>
              <w:rPr>
                <w:rFonts w:hint="eastAsia" w:ascii="Times New Roman" w:hAnsi="Times New Roman" w:eastAsia="方正仿宋_GBK" w:cs="Times New Roman"/>
                <w:kern w:val="0"/>
                <w:sz w:val="21"/>
                <w:szCs w:val="21"/>
                <w:lang w:eastAsia="zh-CN" w:bidi="ar"/>
              </w:rPr>
              <w:t>”</w:t>
            </w:r>
            <w:r>
              <w:rPr>
                <w:rFonts w:hint="default" w:ascii="Times New Roman" w:hAnsi="Times New Roman" w:eastAsia="方正仿宋_GBK" w:cs="Times New Roman"/>
                <w:kern w:val="0"/>
                <w:sz w:val="21"/>
                <w:szCs w:val="21"/>
                <w:lang w:bidi="ar"/>
              </w:rPr>
              <w:t>协同发展各项机制，承接落实毗邻地区（川渝藏贵）</w:t>
            </w:r>
            <w:r>
              <w:rPr>
                <w:rFonts w:hint="eastAsia" w:ascii="Times New Roman" w:hAnsi="Times New Roman" w:eastAsia="方正仿宋_GBK" w:cs="Times New Roman"/>
                <w:kern w:val="0"/>
                <w:sz w:val="21"/>
                <w:szCs w:val="21"/>
                <w:lang w:eastAsia="zh-CN" w:bidi="ar"/>
              </w:rPr>
              <w:t>“</w:t>
            </w:r>
            <w:r>
              <w:rPr>
                <w:rFonts w:hint="default" w:ascii="Times New Roman" w:hAnsi="Times New Roman" w:eastAsia="方正仿宋_GBK" w:cs="Times New Roman"/>
                <w:kern w:val="0"/>
                <w:sz w:val="21"/>
                <w:szCs w:val="21"/>
                <w:lang w:bidi="ar"/>
              </w:rPr>
              <w:t>一卡通办</w:t>
            </w:r>
            <w:r>
              <w:rPr>
                <w:rFonts w:hint="eastAsia" w:ascii="Times New Roman" w:hAnsi="Times New Roman" w:eastAsia="方正仿宋_GBK" w:cs="Times New Roman"/>
                <w:kern w:val="0"/>
                <w:sz w:val="21"/>
                <w:szCs w:val="21"/>
                <w:lang w:eastAsia="zh-CN" w:bidi="ar"/>
              </w:rPr>
              <w:t>”“</w:t>
            </w:r>
            <w:r>
              <w:rPr>
                <w:rFonts w:hint="default" w:ascii="Times New Roman" w:hAnsi="Times New Roman" w:eastAsia="方正仿宋_GBK" w:cs="Times New Roman"/>
                <w:kern w:val="0"/>
                <w:sz w:val="21"/>
                <w:szCs w:val="21"/>
                <w:lang w:bidi="ar"/>
              </w:rPr>
              <w:t>一卡通用</w:t>
            </w:r>
            <w:r>
              <w:rPr>
                <w:rFonts w:hint="eastAsia" w:ascii="Times New Roman" w:hAnsi="Times New Roman" w:eastAsia="方正仿宋_GBK" w:cs="Times New Roman"/>
                <w:kern w:val="0"/>
                <w:sz w:val="21"/>
                <w:szCs w:val="21"/>
                <w:lang w:eastAsia="zh-CN" w:bidi="ar"/>
              </w:rPr>
              <w:t>”</w:t>
            </w:r>
            <w:r>
              <w:rPr>
                <w:rFonts w:hint="default" w:ascii="Times New Roman" w:hAnsi="Times New Roman" w:eastAsia="方正仿宋_GBK" w:cs="Times New Roman"/>
                <w:kern w:val="0"/>
                <w:sz w:val="21"/>
                <w:szCs w:val="21"/>
                <w:lang w:bidi="ar"/>
              </w:rPr>
              <w:t>和川渝两地文化体验、交通出行等应用</w:t>
            </w:r>
            <w:r>
              <w:rPr>
                <w:rStyle w:val="35"/>
                <w:rFonts w:hint="default" w:ascii="Times New Roman" w:hAnsi="Times New Roman" w:eastAsia="方正仿宋_GBK" w:cs="Times New Roman"/>
                <w:color w:val="auto"/>
                <w:sz w:val="21"/>
                <w:szCs w:val="21"/>
                <w:lang w:bidi="ar"/>
              </w:rPr>
              <w:t>。</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实体卡</w:t>
            </w:r>
          </w:p>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身份识别</w:t>
            </w:r>
          </w:p>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缴费支付</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954" w:hRule="atLeast"/>
          <w:jc w:val="center"/>
        </w:trPr>
        <w:tc>
          <w:tcPr>
            <w:tcW w:w="594" w:type="dxa"/>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7</w:t>
            </w:r>
          </w:p>
        </w:tc>
        <w:tc>
          <w:tcPr>
            <w:tcW w:w="688" w:type="dxa"/>
            <w:vMerge w:val="restart"/>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事项类</w:t>
            </w:r>
          </w:p>
        </w:tc>
        <w:tc>
          <w:tcPr>
            <w:tcW w:w="92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区教委</w:t>
            </w:r>
          </w:p>
        </w:tc>
        <w:tc>
          <w:tcPr>
            <w:tcW w:w="107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区人力社保局、各乡镇街道</w:t>
            </w:r>
          </w:p>
        </w:tc>
        <w:tc>
          <w:tcPr>
            <w:tcW w:w="964" w:type="dxa"/>
            <w:tcBorders>
              <w:top w:val="single" w:color="000000" w:sz="4" w:space="0"/>
              <w:left w:val="single" w:color="000000" w:sz="4" w:space="0"/>
              <w:bottom w:val="nil"/>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教育收费</w:t>
            </w:r>
          </w:p>
        </w:tc>
        <w:tc>
          <w:tcPr>
            <w:tcW w:w="4648" w:type="dxa"/>
            <w:tcBorders>
              <w:top w:val="single" w:color="000000" w:sz="4" w:space="0"/>
              <w:left w:val="single" w:color="000000" w:sz="4" w:space="0"/>
              <w:bottom w:val="nil"/>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鼓励各级各类学校改造学校收费系统，支持学生通过社会保障卡银行账户缴纳学费。</w:t>
            </w:r>
          </w:p>
        </w:tc>
        <w:tc>
          <w:tcPr>
            <w:tcW w:w="775" w:type="dxa"/>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实体卡</w:t>
            </w:r>
          </w:p>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电子卡</w:t>
            </w:r>
          </w:p>
        </w:tc>
        <w:tc>
          <w:tcPr>
            <w:tcW w:w="887" w:type="dxa"/>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缴费支付</w:t>
            </w:r>
          </w:p>
        </w:tc>
        <w:tc>
          <w:tcPr>
            <w:tcW w:w="1025" w:type="dxa"/>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一级</w:t>
            </w:r>
          </w:p>
        </w:tc>
        <w:tc>
          <w:tcPr>
            <w:tcW w:w="950" w:type="dxa"/>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一级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一级</w:t>
            </w:r>
          </w:p>
        </w:tc>
      </w:tr>
      <w:tr>
        <w:tblPrEx>
          <w:tblCellMar>
            <w:top w:w="15" w:type="dxa"/>
            <w:left w:w="15" w:type="dxa"/>
            <w:bottom w:w="15" w:type="dxa"/>
            <w:right w:w="15" w:type="dxa"/>
          </w:tblCellMar>
        </w:tblPrEx>
        <w:trPr>
          <w:trHeight w:val="1055"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8</w:t>
            </w:r>
          </w:p>
        </w:tc>
        <w:tc>
          <w:tcPr>
            <w:tcW w:w="688" w:type="dxa"/>
            <w:vMerge w:val="continue"/>
            <w:tcBorders>
              <w:top w:val="nil"/>
              <w:left w:val="single" w:color="000000" w:sz="4" w:space="0"/>
              <w:bottom w:val="nil"/>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社会保障卡校园学习管理</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在区职教中心试点，构建以社会保障卡为载体的智慧校园系统，建立涵盖学生数字档案、校园消费电子码、校园出入凭证、补贴申领等方面的校园生活服务体系。</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实体卡</w:t>
            </w:r>
          </w:p>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身份识别缴费支付</w:t>
            </w:r>
          </w:p>
        </w:tc>
        <w:tc>
          <w:tcPr>
            <w:tcW w:w="2920"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采取试点方式，逐步推进</w:t>
            </w:r>
          </w:p>
        </w:tc>
      </w:tr>
      <w:tr>
        <w:tblPrEx>
          <w:tblCellMar>
            <w:top w:w="15" w:type="dxa"/>
            <w:left w:w="15" w:type="dxa"/>
            <w:bottom w:w="15" w:type="dxa"/>
            <w:right w:w="15" w:type="dxa"/>
          </w:tblCellMar>
        </w:tblPrEx>
        <w:trPr>
          <w:trHeight w:val="682"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9</w:t>
            </w:r>
          </w:p>
        </w:tc>
        <w:tc>
          <w:tcPr>
            <w:tcW w:w="688" w:type="dxa"/>
            <w:vMerge w:val="continue"/>
            <w:tcBorders>
              <w:top w:val="nil"/>
              <w:left w:val="single" w:color="000000" w:sz="4" w:space="0"/>
              <w:bottom w:val="nil"/>
              <w:right w:val="single" w:color="000000" w:sz="4" w:space="0"/>
            </w:tcBorders>
            <w:noWrap w:val="0"/>
            <w:vAlign w:val="center"/>
          </w:tcPr>
          <w:p>
            <w:pPr>
              <w:rPr>
                <w:rFonts w:hint="default" w:ascii="Times New Roman" w:hAnsi="Times New Roman" w:cs="Times New Roman"/>
              </w:rPr>
            </w:pPr>
          </w:p>
        </w:tc>
        <w:tc>
          <w:tcPr>
            <w:tcW w:w="92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区公安局</w:t>
            </w:r>
          </w:p>
        </w:tc>
        <w:tc>
          <w:tcPr>
            <w:tcW w:w="107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公安政务服务</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实现电子社保卡授权登录</w:t>
            </w:r>
            <w:r>
              <w:rPr>
                <w:rStyle w:val="35"/>
                <w:rFonts w:hint="eastAsia" w:ascii="Times New Roman" w:hAnsi="Times New Roman" w:eastAsia="方正仿宋_GBK" w:cs="Times New Roman"/>
                <w:color w:val="auto"/>
                <w:sz w:val="21"/>
                <w:szCs w:val="21"/>
                <w:lang w:eastAsia="zh-CN" w:bidi="ar"/>
              </w:rPr>
              <w:t>“</w:t>
            </w:r>
            <w:r>
              <w:rPr>
                <w:rStyle w:val="35"/>
                <w:rFonts w:hint="default" w:ascii="Times New Roman" w:hAnsi="Times New Roman" w:eastAsia="方正仿宋_GBK" w:cs="Times New Roman"/>
                <w:color w:val="auto"/>
                <w:sz w:val="21"/>
                <w:szCs w:val="21"/>
                <w:lang w:bidi="ar"/>
              </w:rPr>
              <w:t>警快办</w:t>
            </w:r>
            <w:r>
              <w:rPr>
                <w:rStyle w:val="35"/>
                <w:rFonts w:hint="eastAsia" w:ascii="Times New Roman" w:hAnsi="Times New Roman" w:eastAsia="方正仿宋_GBK" w:cs="Times New Roman"/>
                <w:color w:val="auto"/>
                <w:sz w:val="21"/>
                <w:szCs w:val="21"/>
                <w:lang w:eastAsia="zh-CN" w:bidi="ar"/>
              </w:rPr>
              <w:t>”</w:t>
            </w:r>
            <w:r>
              <w:rPr>
                <w:rStyle w:val="35"/>
                <w:rFonts w:hint="default" w:ascii="Times New Roman" w:hAnsi="Times New Roman" w:eastAsia="方正仿宋_GBK" w:cs="Times New Roman"/>
                <w:color w:val="auto"/>
                <w:sz w:val="21"/>
                <w:szCs w:val="21"/>
                <w:lang w:bidi="ar"/>
              </w:rPr>
              <w:t>。</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776"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10</w:t>
            </w:r>
          </w:p>
        </w:tc>
        <w:tc>
          <w:tcPr>
            <w:tcW w:w="688" w:type="dxa"/>
            <w:vMerge w:val="continue"/>
            <w:tcBorders>
              <w:top w:val="nil"/>
              <w:left w:val="single" w:color="000000" w:sz="4" w:space="0"/>
              <w:bottom w:val="nil"/>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宾旅馆住宿</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个人可持社会保障卡办理宾旅馆住宿业务。</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实体卡</w:t>
            </w:r>
          </w:p>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w:t>
            </w:r>
          </w:p>
        </w:tc>
        <w:tc>
          <w:tcPr>
            <w:tcW w:w="2920"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采取试点方式，逐步推进。</w:t>
            </w:r>
          </w:p>
        </w:tc>
      </w:tr>
      <w:tr>
        <w:tblPrEx>
          <w:tblCellMar>
            <w:top w:w="15" w:type="dxa"/>
            <w:left w:w="15" w:type="dxa"/>
            <w:bottom w:w="15" w:type="dxa"/>
            <w:right w:w="15" w:type="dxa"/>
          </w:tblCellMar>
        </w:tblPrEx>
        <w:trPr>
          <w:trHeight w:val="1005"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11</w:t>
            </w:r>
          </w:p>
        </w:tc>
        <w:tc>
          <w:tcPr>
            <w:tcW w:w="688" w:type="dxa"/>
            <w:vMerge w:val="continue"/>
            <w:tcBorders>
              <w:top w:val="nil"/>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机动车驾驶证相关信息查询</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个人可持社会保障卡到区内车驾管服务窗口查询本人机动车驾驶证相关信息。</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实体卡</w:t>
            </w:r>
          </w:p>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一级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一级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一级</w:t>
            </w:r>
          </w:p>
        </w:tc>
      </w:tr>
      <w:tr>
        <w:tblPrEx>
          <w:tblCellMar>
            <w:top w:w="15" w:type="dxa"/>
            <w:left w:w="15" w:type="dxa"/>
            <w:bottom w:w="15" w:type="dxa"/>
            <w:right w:w="15" w:type="dxa"/>
          </w:tblCellMar>
        </w:tblPrEx>
        <w:trPr>
          <w:trHeight w:val="1040"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12</w:t>
            </w:r>
          </w:p>
        </w:tc>
        <w:tc>
          <w:tcPr>
            <w:tcW w:w="68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事项类</w:t>
            </w:r>
          </w:p>
        </w:tc>
        <w:tc>
          <w:tcPr>
            <w:tcW w:w="92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区民政局</w:t>
            </w:r>
          </w:p>
        </w:tc>
        <w:tc>
          <w:tcPr>
            <w:tcW w:w="107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社区服务</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个人可持社会保障卡在社区养老食堂就餐、能力评估、助浴。</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实体卡</w:t>
            </w:r>
          </w:p>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身份识别缴费支付</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910"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13</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民政政务服务</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个人可持社会保障卡作为身份凭证办理民政政务服务事项。</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实体卡</w:t>
            </w:r>
          </w:p>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172"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14</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区司法局</w:t>
            </w:r>
          </w:p>
        </w:tc>
        <w:tc>
          <w:tcPr>
            <w:tcW w:w="107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司法相关</w:t>
            </w:r>
          </w:p>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资金发放</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人民调解员补贴、人民调解员因从事工作致伤致残或牺牲的救助、抚恤金等统一发放到社会保障卡银行账户，个人持社会保障卡经银行渠道领取</w:t>
            </w:r>
            <w:r>
              <w:rPr>
                <w:rStyle w:val="35"/>
                <w:rFonts w:hint="default" w:ascii="Times New Roman" w:hAnsi="Times New Roman" w:eastAsia="方正仿宋_GBK" w:cs="Times New Roman"/>
                <w:color w:val="auto"/>
                <w:sz w:val="21"/>
                <w:szCs w:val="21"/>
                <w:lang w:bidi="ar"/>
              </w:rPr>
              <w:t>。</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资金发放</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503"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15</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区财政局</w:t>
            </w:r>
          </w:p>
        </w:tc>
        <w:tc>
          <w:tcPr>
            <w:tcW w:w="107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区人力社保局、区级有关部门、各乡镇街道</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财政惠农</w:t>
            </w:r>
          </w:p>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补贴资金</w:t>
            </w:r>
          </w:p>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领取</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稳步推进惠农财政补贴通过社会保障卡银行账户发放，新开设的惠民惠农补贴资金原则上采用社会保障卡发放，逐步实现以社会保障卡为载体发放各类惠民惠农财政补贴资金。</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资金发放</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131"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16</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以工代赈专项项目劳动报酬发放</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新开设的以工代赈专项项目劳务报酬原则上采用社会保障卡发放，个人持社会保障卡经银行渠道领取。</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资金发放</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930"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17</w:t>
            </w:r>
          </w:p>
        </w:tc>
        <w:tc>
          <w:tcPr>
            <w:tcW w:w="68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事项类</w:t>
            </w:r>
          </w:p>
        </w:tc>
        <w:tc>
          <w:tcPr>
            <w:tcW w:w="92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区财政局</w:t>
            </w:r>
          </w:p>
        </w:tc>
        <w:tc>
          <w:tcPr>
            <w:tcW w:w="107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区人力社保局、区级有关部门、各乡镇街道</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助学金补助</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新开设的基础教育阶段困难学生奖助学金、困难学生生活补助等原则上采用社会保障卡发放，个人持社会保障卡经银行渠道领取。</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资金发放</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969"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18</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城乡居民最低生活保障发放</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新开设的城乡居民最低生活保障等资金原则上采用社会保障卡发放，个人持社会保障卡经银行渠道领取。</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资金发放</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649"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19</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特困人员救助供养、农村困难群众生活救助资金发放</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新开设的特困人员救助供养、农村困难群众生活救助资金等原则上采用社会保障卡发放，个人持社会保障卡经银行渠道领取。</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资金发放</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753"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20</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临时救助金发放</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新开设的临时救助金原则上采用社会保障卡</w:t>
            </w:r>
            <w:r>
              <w:rPr>
                <w:rStyle w:val="35"/>
                <w:rFonts w:hint="default" w:ascii="Times New Roman" w:hAnsi="Times New Roman" w:eastAsia="方正仿宋_GBK" w:cs="Times New Roman"/>
                <w:color w:val="auto"/>
                <w:sz w:val="21"/>
                <w:szCs w:val="21"/>
                <w:lang w:bidi="ar"/>
              </w:rPr>
              <w:t>发放，个人持社会保障卡经银行渠道领取。</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资金发放</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950"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21</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高龄补贴</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新开设的高龄补贴原则上采用社会保障卡发放，个人持社会保障卡经银行渠道领取。</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资金发放</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242"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22</w:t>
            </w:r>
          </w:p>
        </w:tc>
        <w:tc>
          <w:tcPr>
            <w:tcW w:w="68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事项类</w:t>
            </w:r>
          </w:p>
        </w:tc>
        <w:tc>
          <w:tcPr>
            <w:tcW w:w="92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区财政局</w:t>
            </w:r>
          </w:p>
        </w:tc>
        <w:tc>
          <w:tcPr>
            <w:tcW w:w="107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区人力社保局、区级有关部门、各乡镇街道</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水利相关补贴发放</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新开设的水库移民直补资金、大中型水库移民后期扶持资金、大中型水库后期扶持人口的给付等资金原则上采用社会保障卡发放，个人持社会保障卡经银行渠道领取。</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资金发放</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880"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23</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农业林业相关补贴发放</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新开设的本行业涉农补贴资金原则上采用社会保障卡发放，个人持社会保障卡经银行渠道领取。</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资金发放</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868"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24</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区交通运输委</w:t>
            </w:r>
          </w:p>
        </w:tc>
        <w:tc>
          <w:tcPr>
            <w:tcW w:w="107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交通罚款缴纳</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可通过社会保障卡银行账户缴纳交通行政处罚罚款。</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缴费支付</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752"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25</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公交、轨道刷卡乘车</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个人可持社会保障卡刷卡乘公交，探索实体卡加载公益卡。</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w:t>
            </w:r>
            <w:r>
              <w:rPr>
                <w:rStyle w:val="36"/>
                <w:rFonts w:hint="default" w:ascii="Times New Roman" w:hAnsi="Times New Roman" w:eastAsia="方正仿宋_GBK" w:cs="Times New Roman"/>
                <w:color w:val="auto"/>
                <w:sz w:val="21"/>
                <w:szCs w:val="21"/>
                <w:lang w:bidi="ar"/>
              </w:rPr>
              <w:t>卡</w:t>
            </w:r>
            <w:r>
              <w:rPr>
                <w:rStyle w:val="35"/>
                <w:rFonts w:hint="default" w:ascii="Times New Roman" w:hAnsi="Times New Roman" w:eastAsia="方正仿宋_GBK" w:cs="Times New Roman"/>
                <w:color w:val="auto"/>
                <w:sz w:val="21"/>
                <w:szCs w:val="21"/>
                <w:lang w:bidi="ar"/>
              </w:rPr>
              <w:t>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身份识别缴费支付</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628"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26</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区文化旅游委</w:t>
            </w:r>
          </w:p>
        </w:tc>
        <w:tc>
          <w:tcPr>
            <w:tcW w:w="107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图书馆入馆、借阅</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个人可持社会保障卡在公共图书馆借还图书。</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540"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27</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博物馆</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个人可持社会保障卡进入博物馆。</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310"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28</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旅游景点</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个人可持社会保障卡进入辖区国有（控股）景点，实现在濯水古镇、蒲花河等景区使用社会保障卡金融账户购票、消费等服务，积极探索推进旅游观光方面的</w:t>
            </w:r>
            <w:r>
              <w:rPr>
                <w:rFonts w:hint="eastAsia" w:ascii="Times New Roman" w:hAnsi="Times New Roman" w:eastAsia="方正仿宋_GBK" w:cs="Times New Roman"/>
                <w:kern w:val="0"/>
                <w:sz w:val="21"/>
                <w:szCs w:val="21"/>
                <w:lang w:eastAsia="zh-CN" w:bidi="ar"/>
              </w:rPr>
              <w:t>“</w:t>
            </w:r>
            <w:r>
              <w:rPr>
                <w:rFonts w:hint="default" w:ascii="Times New Roman" w:hAnsi="Times New Roman" w:eastAsia="方正仿宋_GBK" w:cs="Times New Roman"/>
                <w:kern w:val="0"/>
                <w:sz w:val="21"/>
                <w:szCs w:val="21"/>
                <w:lang w:bidi="ar"/>
              </w:rPr>
              <w:t>同城待遇</w:t>
            </w:r>
            <w:r>
              <w:rPr>
                <w:rFonts w:hint="eastAsia" w:ascii="Times New Roman" w:hAnsi="Times New Roman" w:eastAsia="方正仿宋_GBK" w:cs="Times New Roman"/>
                <w:kern w:val="0"/>
                <w:sz w:val="21"/>
                <w:szCs w:val="21"/>
                <w:lang w:eastAsia="zh-CN" w:bidi="ar"/>
              </w:rPr>
              <w:t>”</w:t>
            </w:r>
            <w:r>
              <w:rPr>
                <w:rFonts w:hint="default" w:ascii="Times New Roman" w:hAnsi="Times New Roman" w:eastAsia="方正仿宋_GBK" w:cs="Times New Roman"/>
                <w:kern w:val="0"/>
                <w:sz w:val="21"/>
                <w:szCs w:val="21"/>
                <w:lang w:bidi="ar"/>
              </w:rPr>
              <w:t>在黔江区落地。</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身份识别缴费支付</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Style w:val="37"/>
                <w:rFonts w:hint="default" w:ascii="Times New Roman" w:hAnsi="Times New Roman" w:eastAsia="方正仿宋_GBK" w:cs="Times New Roman"/>
                <w:color w:val="auto"/>
                <w:sz w:val="21"/>
                <w:szCs w:val="21"/>
                <w:lang w:bidi="ar"/>
              </w:rPr>
              <w:t>三</w:t>
            </w:r>
            <w:r>
              <w:rPr>
                <w:rStyle w:val="35"/>
                <w:rFonts w:hint="default" w:ascii="Times New Roman" w:hAnsi="Times New Roman" w:eastAsia="方正仿宋_GBK" w:cs="Times New Roman"/>
                <w:color w:val="auto"/>
                <w:sz w:val="21"/>
                <w:szCs w:val="21"/>
                <w:lang w:bidi="ar"/>
              </w:rPr>
              <w:t>级</w:t>
            </w:r>
          </w:p>
        </w:tc>
      </w:tr>
      <w:tr>
        <w:tblPrEx>
          <w:tblCellMar>
            <w:top w:w="15" w:type="dxa"/>
            <w:left w:w="15" w:type="dxa"/>
            <w:bottom w:w="15" w:type="dxa"/>
            <w:right w:w="15" w:type="dxa"/>
          </w:tblCellMar>
        </w:tblPrEx>
        <w:trPr>
          <w:trHeight w:val="620"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29</w:t>
            </w:r>
          </w:p>
        </w:tc>
        <w:tc>
          <w:tcPr>
            <w:tcW w:w="68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事项类</w:t>
            </w:r>
          </w:p>
        </w:tc>
        <w:tc>
          <w:tcPr>
            <w:tcW w:w="92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区卫生健康委</w:t>
            </w:r>
          </w:p>
        </w:tc>
        <w:tc>
          <w:tcPr>
            <w:tcW w:w="107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生育服务</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社会保障卡代替生育服务证作为身份凭证。</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168"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30</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卫生健康相关补贴</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独生子女父母奖励补助、村医公共卫生补助资金/生活补贴、计划生育家庭扶助奖励等统一发放到社会保障卡银行账户，个人持社会保障卡经银行渠道领取。</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资金发放</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475"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31</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医师服务</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个人可持社会保障卡办理医师变更执业地点、医师资格准入、医师执业多机构备案、医师（含助理）资格认定、医师资格证遗失或损坏补办、医师执业注册和中医医术确有专长人员医师执业注册等业务。</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641"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32</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为严重精神障碍患者免费提供基本公共卫生服务</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可将社会保障卡作为严重精神障碍患者身份凭证，上门为其提供基本公共卫生服务。</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258"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33</w:t>
            </w:r>
          </w:p>
        </w:tc>
        <w:tc>
          <w:tcPr>
            <w:tcW w:w="68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事项类</w:t>
            </w:r>
          </w:p>
        </w:tc>
        <w:tc>
          <w:tcPr>
            <w:tcW w:w="92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区卫生健康委</w:t>
            </w:r>
          </w:p>
        </w:tc>
        <w:tc>
          <w:tcPr>
            <w:tcW w:w="107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母婴保健技术服务人员资格许可</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个人可持社会保障卡办理母婴保健技术服务人员资格许可业务。</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149"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34</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电子病历、档案服务</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推动社会保障卡查询电子病历和电子档案信息。</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一级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r>
      <w:tr>
        <w:tblPrEx>
          <w:tblCellMar>
            <w:top w:w="15" w:type="dxa"/>
            <w:left w:w="15" w:type="dxa"/>
            <w:bottom w:w="15" w:type="dxa"/>
            <w:right w:w="15" w:type="dxa"/>
          </w:tblCellMar>
        </w:tblPrEx>
        <w:trPr>
          <w:trHeight w:val="1531"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35</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107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参加护士执业资格考试人员报名资格审定</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个人可持社会保障卡办理参加护士执业资格考试人员报名资格审定业务。</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111"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36</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区医保</w:t>
            </w:r>
            <w:r>
              <w:rPr>
                <w:rStyle w:val="32"/>
                <w:rFonts w:hint="default" w:ascii="Times New Roman" w:hAnsi="Times New Roman" w:eastAsia="方正仿宋_GBK" w:cs="Times New Roman"/>
                <w:i w:val="0"/>
                <w:color w:val="auto"/>
                <w:sz w:val="21"/>
                <w:szCs w:val="21"/>
                <w:lang w:bidi="ar"/>
              </w:rPr>
              <w:t>局</w:t>
            </w:r>
          </w:p>
        </w:tc>
        <w:tc>
          <w:tcPr>
            <w:tcW w:w="107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就医购药</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参保人可持社会保障卡在医保定点医院、药店就医购药。</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415"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37</w:t>
            </w:r>
          </w:p>
        </w:tc>
        <w:tc>
          <w:tcPr>
            <w:tcW w:w="688"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cs="Times New Roman"/>
              </w:rPr>
            </w:pP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区残联</w:t>
            </w:r>
          </w:p>
        </w:tc>
        <w:tc>
          <w:tcPr>
            <w:tcW w:w="107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区人力社保局、区级有关部门</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残疾人身份识别</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残疾人可持社会保障卡证明残疾人身份，享受残疾人优惠政策。</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身份识别</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一级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一级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r>
      <w:tr>
        <w:tblPrEx>
          <w:tblCellMar>
            <w:top w:w="15" w:type="dxa"/>
            <w:left w:w="15" w:type="dxa"/>
            <w:bottom w:w="15" w:type="dxa"/>
            <w:right w:w="15" w:type="dxa"/>
          </w:tblCellMar>
        </w:tblPrEx>
        <w:trPr>
          <w:trHeight w:val="1336"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38</w:t>
            </w:r>
          </w:p>
        </w:tc>
        <w:tc>
          <w:tcPr>
            <w:tcW w:w="688" w:type="dxa"/>
            <w:vMerge w:val="restart"/>
            <w:tcBorders>
              <w:top w:val="single" w:color="000000" w:sz="4" w:space="0"/>
              <w:left w:val="single" w:color="000000" w:sz="4" w:space="0"/>
              <w:bottom w:val="nil"/>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事项类</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区税务局</w:t>
            </w:r>
          </w:p>
        </w:tc>
        <w:tc>
          <w:tcPr>
            <w:tcW w:w="107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社保缴费</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个人通过社会保障卡银行账户缴纳个人税费、社会保险费等。</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缴费支付</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一级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r>
      <w:tr>
        <w:tblPrEx>
          <w:tblCellMar>
            <w:top w:w="15" w:type="dxa"/>
            <w:left w:w="15" w:type="dxa"/>
            <w:bottom w:w="15" w:type="dxa"/>
            <w:right w:w="15" w:type="dxa"/>
          </w:tblCellMar>
        </w:tblPrEx>
        <w:trPr>
          <w:trHeight w:val="1030" w:hRule="atLeast"/>
          <w:jc w:val="center"/>
        </w:trPr>
        <w:tc>
          <w:tcPr>
            <w:tcW w:w="59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39</w:t>
            </w:r>
          </w:p>
        </w:tc>
        <w:tc>
          <w:tcPr>
            <w:tcW w:w="688" w:type="dxa"/>
            <w:vMerge w:val="continue"/>
            <w:tcBorders>
              <w:top w:val="nil"/>
              <w:left w:val="single" w:color="000000" w:sz="4" w:space="0"/>
              <w:bottom w:val="nil"/>
              <w:right w:val="single" w:color="000000" w:sz="4" w:space="0"/>
            </w:tcBorders>
            <w:noWrap w:val="0"/>
            <w:vAlign w:val="center"/>
          </w:tcPr>
          <w:p>
            <w:pPr>
              <w:rPr>
                <w:rFonts w:hint="default" w:ascii="Times New Roman" w:hAnsi="Times New Roman" w:cs="Times New Roman"/>
              </w:rPr>
            </w:pPr>
          </w:p>
        </w:tc>
        <w:tc>
          <w:tcPr>
            <w:tcW w:w="92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区城市管理局</w:t>
            </w:r>
          </w:p>
        </w:tc>
        <w:tc>
          <w:tcPr>
            <w:tcW w:w="107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生活缴费</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个人通过社会保障卡银行账户支付水费等生活缴费。</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实体卡电子卡</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缴费支付</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一级</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r>
      <w:tr>
        <w:tblPrEx>
          <w:tblCellMar>
            <w:top w:w="15" w:type="dxa"/>
            <w:left w:w="15" w:type="dxa"/>
            <w:bottom w:w="15" w:type="dxa"/>
            <w:right w:w="15" w:type="dxa"/>
          </w:tblCellMar>
        </w:tblPrEx>
        <w:trPr>
          <w:trHeight w:val="1229" w:hRule="atLeast"/>
          <w:jc w:val="center"/>
        </w:trPr>
        <w:tc>
          <w:tcPr>
            <w:tcW w:w="594"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40</w:t>
            </w:r>
          </w:p>
        </w:tc>
        <w:tc>
          <w:tcPr>
            <w:tcW w:w="688" w:type="dxa"/>
            <w:vMerge w:val="continue"/>
            <w:tcBorders>
              <w:top w:val="nil"/>
              <w:left w:val="single" w:color="000000" w:sz="4" w:space="0"/>
              <w:bottom w:val="nil"/>
              <w:right w:val="single" w:color="000000" w:sz="4" w:space="0"/>
            </w:tcBorders>
            <w:noWrap w:val="0"/>
            <w:vAlign w:val="center"/>
          </w:tcPr>
          <w:p>
            <w:pPr>
              <w:rPr>
                <w:rFonts w:hint="default" w:ascii="Times New Roman" w:hAnsi="Times New Roman" w:cs="Times New Roman"/>
              </w:rPr>
            </w:pPr>
          </w:p>
        </w:tc>
        <w:tc>
          <w:tcPr>
            <w:tcW w:w="924"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人行黔江分行</w:t>
            </w:r>
          </w:p>
        </w:tc>
        <w:tc>
          <w:tcPr>
            <w:tcW w:w="1074"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w:t>
            </w:r>
          </w:p>
        </w:tc>
        <w:tc>
          <w:tcPr>
            <w:tcW w:w="964"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社会保障卡+数字人民币</w:t>
            </w:r>
          </w:p>
        </w:tc>
        <w:tc>
          <w:tcPr>
            <w:tcW w:w="4648"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拓展</w:t>
            </w:r>
            <w:r>
              <w:rPr>
                <w:rStyle w:val="35"/>
                <w:rFonts w:hint="eastAsia" w:ascii="Times New Roman" w:hAnsi="Times New Roman" w:eastAsia="方正仿宋_GBK" w:cs="Times New Roman"/>
                <w:color w:val="auto"/>
                <w:sz w:val="21"/>
                <w:szCs w:val="21"/>
                <w:lang w:eastAsia="zh-CN" w:bidi="ar"/>
              </w:rPr>
              <w:t>“</w:t>
            </w:r>
            <w:r>
              <w:rPr>
                <w:rStyle w:val="35"/>
                <w:rFonts w:hint="default" w:ascii="Times New Roman" w:hAnsi="Times New Roman" w:eastAsia="方正仿宋_GBK" w:cs="Times New Roman"/>
                <w:color w:val="auto"/>
                <w:sz w:val="21"/>
                <w:szCs w:val="21"/>
                <w:lang w:bidi="ar"/>
              </w:rPr>
              <w:t>社会保障卡+数字人民币</w:t>
            </w:r>
            <w:r>
              <w:rPr>
                <w:rStyle w:val="35"/>
                <w:rFonts w:hint="eastAsia" w:ascii="Times New Roman" w:hAnsi="Times New Roman" w:eastAsia="方正仿宋_GBK" w:cs="Times New Roman"/>
                <w:color w:val="auto"/>
                <w:sz w:val="21"/>
                <w:szCs w:val="21"/>
                <w:lang w:eastAsia="zh-CN" w:bidi="ar"/>
              </w:rPr>
              <w:t>”</w:t>
            </w:r>
            <w:r>
              <w:rPr>
                <w:rStyle w:val="35"/>
                <w:rFonts w:hint="default" w:ascii="Times New Roman" w:hAnsi="Times New Roman" w:eastAsia="方正仿宋_GBK" w:cs="Times New Roman"/>
                <w:color w:val="auto"/>
                <w:sz w:val="21"/>
                <w:szCs w:val="21"/>
                <w:lang w:bidi="ar"/>
              </w:rPr>
              <w:t>应用场景。</w:t>
            </w:r>
          </w:p>
        </w:tc>
        <w:tc>
          <w:tcPr>
            <w:tcW w:w="775"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电子卡</w:t>
            </w:r>
          </w:p>
        </w:tc>
        <w:tc>
          <w:tcPr>
            <w:tcW w:w="887"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资金发放缴费支付</w:t>
            </w:r>
          </w:p>
        </w:tc>
        <w:tc>
          <w:tcPr>
            <w:tcW w:w="1025"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一级</w:t>
            </w:r>
          </w:p>
        </w:tc>
        <w:tc>
          <w:tcPr>
            <w:tcW w:w="950"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c>
          <w:tcPr>
            <w:tcW w:w="945"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二级</w:t>
            </w:r>
          </w:p>
        </w:tc>
      </w:tr>
      <w:tr>
        <w:tblPrEx>
          <w:tblCellMar>
            <w:top w:w="15" w:type="dxa"/>
            <w:left w:w="15" w:type="dxa"/>
            <w:bottom w:w="15" w:type="dxa"/>
            <w:right w:w="15" w:type="dxa"/>
          </w:tblCellMar>
        </w:tblPrEx>
        <w:trPr>
          <w:trHeight w:val="1473" w:hRule="atLeast"/>
          <w:jc w:val="center"/>
        </w:trPr>
        <w:tc>
          <w:tcPr>
            <w:tcW w:w="594"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41</w:t>
            </w:r>
          </w:p>
        </w:tc>
        <w:tc>
          <w:tcPr>
            <w:tcW w:w="688" w:type="dxa"/>
            <w:vMerge w:val="continue"/>
            <w:tcBorders>
              <w:top w:val="nil"/>
              <w:left w:val="single" w:color="000000" w:sz="4" w:space="0"/>
              <w:bottom w:val="nil"/>
              <w:right w:val="single" w:color="000000" w:sz="4" w:space="0"/>
            </w:tcBorders>
            <w:noWrap w:val="0"/>
            <w:vAlign w:val="center"/>
          </w:tcPr>
          <w:p>
            <w:pPr>
              <w:rPr>
                <w:rFonts w:hint="default" w:ascii="Times New Roman" w:hAnsi="Times New Roman" w:cs="Times New Roman"/>
              </w:rPr>
            </w:pPr>
          </w:p>
        </w:tc>
        <w:tc>
          <w:tcPr>
            <w:tcW w:w="924" w:type="dxa"/>
            <w:tcBorders>
              <w:top w:val="single" w:color="auto" w:sz="4" w:space="0"/>
              <w:left w:val="single" w:color="000000" w:sz="4" w:space="0"/>
              <w:bottom w:val="single" w:color="auto" w:sz="4" w:space="0"/>
              <w:right w:val="single" w:color="auto"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区行政服务中心</w:t>
            </w:r>
          </w:p>
        </w:tc>
        <w:tc>
          <w:tcPr>
            <w:tcW w:w="1074" w:type="dxa"/>
            <w:tcBorders>
              <w:top w:val="single" w:color="auto" w:sz="4" w:space="0"/>
              <w:left w:val="single" w:color="auto" w:sz="4" w:space="0"/>
              <w:bottom w:val="single" w:color="auto"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区人力社保局、区级有关部门</w:t>
            </w:r>
          </w:p>
        </w:tc>
        <w:tc>
          <w:tcPr>
            <w:tcW w:w="964"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政务服务</w:t>
            </w:r>
          </w:p>
        </w:tc>
        <w:tc>
          <w:tcPr>
            <w:tcW w:w="4648"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个人通过社会保障卡（电子社保卡）进入区级政务服务中心，并办理各项政务服务事项。探索社会保障卡作为群众办理政务服务事项和享受基本公共服务的有效身份凭证。</w:t>
            </w:r>
          </w:p>
        </w:tc>
        <w:tc>
          <w:tcPr>
            <w:tcW w:w="775"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实体卡电子卡</w:t>
            </w:r>
          </w:p>
        </w:tc>
        <w:tc>
          <w:tcPr>
            <w:tcW w:w="887"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身份识别</w:t>
            </w:r>
          </w:p>
        </w:tc>
        <w:tc>
          <w:tcPr>
            <w:tcW w:w="1025"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二级</w:t>
            </w:r>
          </w:p>
        </w:tc>
        <w:tc>
          <w:tcPr>
            <w:tcW w:w="950"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二级</w:t>
            </w:r>
          </w:p>
        </w:tc>
        <w:tc>
          <w:tcPr>
            <w:tcW w:w="945"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254" w:hRule="atLeast"/>
          <w:jc w:val="center"/>
        </w:trPr>
        <w:tc>
          <w:tcPr>
            <w:tcW w:w="594"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42</w:t>
            </w:r>
          </w:p>
        </w:tc>
        <w:tc>
          <w:tcPr>
            <w:tcW w:w="688" w:type="dxa"/>
            <w:vMerge w:val="continue"/>
            <w:tcBorders>
              <w:top w:val="nil"/>
              <w:left w:val="single" w:color="000000" w:sz="4" w:space="0"/>
              <w:bottom w:val="nil"/>
              <w:right w:val="single" w:color="000000" w:sz="4" w:space="0"/>
            </w:tcBorders>
            <w:noWrap w:val="0"/>
            <w:vAlign w:val="center"/>
          </w:tcPr>
          <w:p>
            <w:pPr>
              <w:rPr>
                <w:rFonts w:hint="default" w:ascii="Times New Roman" w:hAnsi="Times New Roman" w:cs="Times New Roman"/>
              </w:rPr>
            </w:pPr>
          </w:p>
        </w:tc>
        <w:tc>
          <w:tcPr>
            <w:tcW w:w="924"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区总工会</w:t>
            </w:r>
          </w:p>
        </w:tc>
        <w:tc>
          <w:tcPr>
            <w:tcW w:w="1074"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区人力社保局</w:t>
            </w:r>
          </w:p>
        </w:tc>
        <w:tc>
          <w:tcPr>
            <w:tcW w:w="964"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工会待遇发放</w:t>
            </w:r>
          </w:p>
        </w:tc>
        <w:tc>
          <w:tcPr>
            <w:tcW w:w="4648"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新开设的工会待遇发放原则上采用社会保障卡发放，个人持社会保障卡经银行渠道领取。</w:t>
            </w:r>
          </w:p>
        </w:tc>
        <w:tc>
          <w:tcPr>
            <w:tcW w:w="775"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实体卡</w:t>
            </w:r>
          </w:p>
        </w:tc>
        <w:tc>
          <w:tcPr>
            <w:tcW w:w="887"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资金发放</w:t>
            </w:r>
          </w:p>
        </w:tc>
        <w:tc>
          <w:tcPr>
            <w:tcW w:w="1025"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二级</w:t>
            </w:r>
          </w:p>
        </w:tc>
        <w:tc>
          <w:tcPr>
            <w:tcW w:w="950"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二级</w:t>
            </w:r>
          </w:p>
        </w:tc>
        <w:tc>
          <w:tcPr>
            <w:tcW w:w="945" w:type="dxa"/>
            <w:tcBorders>
              <w:top w:val="single" w:color="auto"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top"/>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三级</w:t>
            </w:r>
          </w:p>
        </w:tc>
      </w:tr>
      <w:tr>
        <w:tblPrEx>
          <w:tblCellMar>
            <w:top w:w="15" w:type="dxa"/>
            <w:left w:w="15" w:type="dxa"/>
            <w:bottom w:w="15" w:type="dxa"/>
            <w:right w:w="15" w:type="dxa"/>
          </w:tblCellMar>
        </w:tblPrEx>
        <w:trPr>
          <w:trHeight w:val="1530" w:hRule="atLeast"/>
          <w:jc w:val="center"/>
        </w:trPr>
        <w:tc>
          <w:tcPr>
            <w:tcW w:w="594" w:type="dxa"/>
            <w:tcBorders>
              <w:top w:val="single" w:color="auto" w:sz="4" w:space="0"/>
              <w:left w:val="single" w:color="000000" w:sz="4" w:space="0"/>
              <w:bottom w:val="single" w:color="000000" w:sz="4" w:space="0"/>
              <w:right w:val="single" w:color="auto"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lang w:eastAsia="en-US"/>
              </w:rPr>
            </w:pPr>
            <w:r>
              <w:rPr>
                <w:rFonts w:hint="default" w:ascii="Times New Roman" w:hAnsi="Times New Roman" w:eastAsia="方正仿宋_GBK" w:cs="Times New Roman"/>
                <w:kern w:val="0"/>
                <w:sz w:val="21"/>
                <w:szCs w:val="21"/>
                <w:lang w:bidi="ar"/>
              </w:rPr>
              <w:t>43</w:t>
            </w:r>
          </w:p>
        </w:tc>
        <w:tc>
          <w:tcPr>
            <w:tcW w:w="688"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保障类</w:t>
            </w:r>
          </w:p>
        </w:tc>
        <w:tc>
          <w:tcPr>
            <w:tcW w:w="92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sz w:val="21"/>
                <w:szCs w:val="21"/>
              </w:rPr>
              <w:t>区纪委监委机关</w:t>
            </w:r>
          </w:p>
        </w:tc>
        <w:tc>
          <w:tcPr>
            <w:tcW w:w="1074" w:type="dxa"/>
            <w:tcBorders>
              <w:top w:val="single" w:color="auto" w:sz="4" w:space="0"/>
              <w:left w:val="single" w:color="auto" w:sz="4" w:space="0"/>
              <w:bottom w:val="single" w:color="000000" w:sz="4" w:space="0"/>
              <w:right w:val="single" w:color="000000" w:sz="4" w:space="0"/>
            </w:tcBorders>
            <w:noWrap w:val="0"/>
            <w:vAlign w:val="center"/>
          </w:tcPr>
          <w:p>
            <w:pPr>
              <w:widowControl/>
              <w:spacing w:line="260" w:lineRule="exact"/>
              <w:jc w:val="left"/>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sz w:val="21"/>
                <w:szCs w:val="21"/>
              </w:rPr>
              <w:t>区级有关部门、</w:t>
            </w:r>
            <w:r>
              <w:rPr>
                <w:rFonts w:hint="default" w:ascii="Times New Roman" w:hAnsi="Times New Roman" w:eastAsia="方正仿宋_GBK" w:cs="Times New Roman"/>
                <w:kern w:val="0"/>
                <w:sz w:val="21"/>
                <w:szCs w:val="21"/>
                <w:lang w:bidi="ar"/>
              </w:rPr>
              <w:t>各乡镇街道</w:t>
            </w:r>
          </w:p>
        </w:tc>
        <w:tc>
          <w:tcPr>
            <w:tcW w:w="964"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left"/>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sz w:val="21"/>
                <w:szCs w:val="21"/>
              </w:rPr>
              <w:t>纪律监督</w:t>
            </w:r>
          </w:p>
        </w:tc>
        <w:tc>
          <w:tcPr>
            <w:tcW w:w="4648"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监督各项财政性资金的使用流程和信息公开，及时防范化解廉</w:t>
            </w:r>
            <w:r>
              <w:rPr>
                <w:rFonts w:hint="default" w:ascii="Times New Roman" w:hAnsi="Times New Roman" w:eastAsia="方正仿宋_GBK" w:cs="Times New Roman"/>
                <w:kern w:val="0"/>
                <w:sz w:val="21"/>
                <w:szCs w:val="21"/>
                <w:lang w:val="en-US" w:eastAsia="zh-CN" w:bidi="ar"/>
              </w:rPr>
              <w:t>政</w:t>
            </w:r>
            <w:r>
              <w:rPr>
                <w:rFonts w:hint="default" w:ascii="Times New Roman" w:hAnsi="Times New Roman" w:eastAsia="方正仿宋_GBK" w:cs="Times New Roman"/>
                <w:kern w:val="0"/>
                <w:sz w:val="21"/>
                <w:szCs w:val="21"/>
                <w:lang w:bidi="ar"/>
              </w:rPr>
              <w:t>风险，对在</w:t>
            </w:r>
            <w:r>
              <w:rPr>
                <w:rFonts w:hint="eastAsia" w:ascii="Times New Roman" w:hAnsi="Times New Roman" w:eastAsia="方正仿宋_GBK" w:cs="Times New Roman"/>
                <w:kern w:val="0"/>
                <w:sz w:val="21"/>
                <w:szCs w:val="21"/>
                <w:lang w:eastAsia="zh-CN" w:bidi="ar"/>
              </w:rPr>
              <w:t>“</w:t>
            </w:r>
            <w:r>
              <w:rPr>
                <w:rFonts w:hint="default" w:ascii="Times New Roman" w:hAnsi="Times New Roman" w:eastAsia="方正仿宋_GBK" w:cs="Times New Roman"/>
                <w:kern w:val="0"/>
                <w:sz w:val="21"/>
                <w:szCs w:val="21"/>
                <w:lang w:bidi="ar"/>
              </w:rPr>
              <w:t>一卡通</w:t>
            </w:r>
            <w:r>
              <w:rPr>
                <w:rFonts w:hint="eastAsia" w:ascii="Times New Roman" w:hAnsi="Times New Roman" w:eastAsia="方正仿宋_GBK" w:cs="Times New Roman"/>
                <w:kern w:val="0"/>
                <w:sz w:val="21"/>
                <w:szCs w:val="21"/>
                <w:lang w:eastAsia="zh-CN" w:bidi="ar"/>
              </w:rPr>
              <w:t>”</w:t>
            </w:r>
            <w:r>
              <w:rPr>
                <w:rFonts w:hint="default" w:ascii="Times New Roman" w:hAnsi="Times New Roman" w:eastAsia="方正仿宋_GBK" w:cs="Times New Roman"/>
                <w:kern w:val="0"/>
                <w:sz w:val="21"/>
                <w:szCs w:val="21"/>
                <w:lang w:bidi="ar"/>
              </w:rPr>
              <w:t>工作中存在的推进不力、推诿扯皮等问题严肃处理。</w:t>
            </w:r>
          </w:p>
        </w:tc>
        <w:tc>
          <w:tcPr>
            <w:tcW w:w="775"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w:t>
            </w:r>
          </w:p>
        </w:tc>
        <w:tc>
          <w:tcPr>
            <w:tcW w:w="887"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w:t>
            </w:r>
          </w:p>
        </w:tc>
        <w:tc>
          <w:tcPr>
            <w:tcW w:w="1025"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w:t>
            </w:r>
          </w:p>
        </w:tc>
        <w:tc>
          <w:tcPr>
            <w:tcW w:w="950"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w:t>
            </w:r>
          </w:p>
        </w:tc>
        <w:tc>
          <w:tcPr>
            <w:tcW w:w="945"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w:t>
            </w:r>
          </w:p>
        </w:tc>
      </w:tr>
      <w:tr>
        <w:tblPrEx>
          <w:tblCellMar>
            <w:top w:w="15" w:type="dxa"/>
            <w:left w:w="15" w:type="dxa"/>
            <w:bottom w:w="15" w:type="dxa"/>
            <w:right w:w="15" w:type="dxa"/>
          </w:tblCellMar>
        </w:tblPrEx>
        <w:trPr>
          <w:trHeight w:val="1377" w:hRule="atLeast"/>
          <w:jc w:val="center"/>
        </w:trPr>
        <w:tc>
          <w:tcPr>
            <w:tcW w:w="594" w:type="dxa"/>
            <w:tcBorders>
              <w:top w:val="single" w:color="000000" w:sz="4" w:space="0"/>
              <w:left w:val="single" w:color="000000" w:sz="4" w:space="0"/>
              <w:bottom w:val="single" w:color="auto" w:sz="4" w:space="0"/>
              <w:right w:val="single" w:color="auto"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44</w:t>
            </w:r>
          </w:p>
        </w:tc>
        <w:tc>
          <w:tcPr>
            <w:tcW w:w="688" w:type="dxa"/>
            <w:vMerge w:val="restart"/>
            <w:tcBorders>
              <w:top w:val="single" w:color="auto" w:sz="4" w:space="0"/>
              <w:left w:val="single" w:color="auto" w:sz="4" w:space="0"/>
              <w:right w:val="single" w:color="auto" w:sz="4" w:space="0"/>
            </w:tcBorders>
            <w:noWrap w:val="0"/>
            <w:vAlign w:val="center"/>
          </w:tcPr>
          <w:p>
            <w:pPr>
              <w:rPr>
                <w:rFonts w:hint="default" w:ascii="Times New Roman" w:hAnsi="Times New Roman" w:cs="Times New Roman"/>
              </w:rPr>
            </w:pPr>
            <w:r>
              <w:rPr>
                <w:rFonts w:hint="default" w:ascii="Times New Roman" w:hAnsi="Times New Roman" w:eastAsia="方正仿宋_GBK" w:cs="Times New Roman"/>
                <w:kern w:val="0"/>
                <w:sz w:val="21"/>
                <w:szCs w:val="21"/>
                <w:lang w:bidi="ar"/>
              </w:rPr>
              <w:t>保障类</w:t>
            </w:r>
          </w:p>
        </w:tc>
        <w:tc>
          <w:tcPr>
            <w:tcW w:w="92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区委网信办</w:t>
            </w:r>
          </w:p>
        </w:tc>
        <w:tc>
          <w:tcPr>
            <w:tcW w:w="1074" w:type="dxa"/>
            <w:tcBorders>
              <w:top w:val="single" w:color="000000" w:sz="4" w:space="0"/>
              <w:left w:val="single" w:color="auto" w:sz="4" w:space="0"/>
              <w:bottom w:val="single" w:color="auto"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区级有关部门、各乡镇街道</w:t>
            </w:r>
          </w:p>
        </w:tc>
        <w:tc>
          <w:tcPr>
            <w:tcW w:w="964"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舆情监控</w:t>
            </w:r>
          </w:p>
        </w:tc>
        <w:tc>
          <w:tcPr>
            <w:tcW w:w="4648"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重点针对待遇补贴</w:t>
            </w:r>
            <w:r>
              <w:rPr>
                <w:rFonts w:hint="eastAsia" w:ascii="Times New Roman" w:hAnsi="Times New Roman" w:eastAsia="方正仿宋_GBK" w:cs="Times New Roman"/>
                <w:kern w:val="0"/>
                <w:sz w:val="21"/>
                <w:szCs w:val="21"/>
                <w:lang w:eastAsia="zh-CN" w:bidi="ar"/>
              </w:rPr>
              <w:t>“</w:t>
            </w:r>
            <w:r>
              <w:rPr>
                <w:rFonts w:hint="default" w:ascii="Times New Roman" w:hAnsi="Times New Roman" w:eastAsia="方正仿宋_GBK" w:cs="Times New Roman"/>
                <w:kern w:val="0"/>
                <w:sz w:val="21"/>
                <w:szCs w:val="21"/>
                <w:lang w:bidi="ar"/>
              </w:rPr>
              <w:t>一卡通</w:t>
            </w:r>
            <w:r>
              <w:rPr>
                <w:rFonts w:hint="eastAsia" w:ascii="Times New Roman" w:hAnsi="Times New Roman" w:eastAsia="方正仿宋_GBK" w:cs="Times New Roman"/>
                <w:kern w:val="0"/>
                <w:sz w:val="21"/>
                <w:szCs w:val="21"/>
                <w:lang w:eastAsia="zh-CN" w:bidi="ar"/>
              </w:rPr>
              <w:t>”</w:t>
            </w:r>
            <w:r>
              <w:rPr>
                <w:rFonts w:hint="default" w:ascii="Times New Roman" w:hAnsi="Times New Roman" w:eastAsia="方正仿宋_GBK" w:cs="Times New Roman"/>
                <w:kern w:val="0"/>
                <w:sz w:val="21"/>
                <w:szCs w:val="21"/>
                <w:lang w:bidi="ar"/>
              </w:rPr>
              <w:t>工作的舆情，及时向各行业主管部门和乡镇（街道）通报，并督促妥善处置。</w:t>
            </w:r>
          </w:p>
        </w:tc>
        <w:tc>
          <w:tcPr>
            <w:tcW w:w="775"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w:t>
            </w:r>
          </w:p>
        </w:tc>
        <w:tc>
          <w:tcPr>
            <w:tcW w:w="887"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w:t>
            </w:r>
          </w:p>
        </w:tc>
        <w:tc>
          <w:tcPr>
            <w:tcW w:w="1025"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w:t>
            </w:r>
          </w:p>
        </w:tc>
        <w:tc>
          <w:tcPr>
            <w:tcW w:w="950"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w:t>
            </w:r>
          </w:p>
        </w:tc>
        <w:tc>
          <w:tcPr>
            <w:tcW w:w="945"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w:t>
            </w:r>
          </w:p>
        </w:tc>
      </w:tr>
      <w:tr>
        <w:tblPrEx>
          <w:tblCellMar>
            <w:top w:w="15" w:type="dxa"/>
            <w:left w:w="15" w:type="dxa"/>
            <w:bottom w:w="15" w:type="dxa"/>
            <w:right w:w="15" w:type="dxa"/>
          </w:tblCellMar>
        </w:tblPrEx>
        <w:trPr>
          <w:trHeight w:val="1063" w:hRule="atLeast"/>
          <w:jc w:val="center"/>
        </w:trPr>
        <w:tc>
          <w:tcPr>
            <w:tcW w:w="594" w:type="dxa"/>
            <w:tcBorders>
              <w:top w:val="single" w:color="auto" w:sz="4" w:space="0"/>
              <w:left w:val="single" w:color="000000" w:sz="4" w:space="0"/>
              <w:bottom w:val="single" w:color="000000" w:sz="4" w:space="0"/>
              <w:right w:val="single" w:color="auto"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45</w:t>
            </w:r>
          </w:p>
        </w:tc>
        <w:tc>
          <w:tcPr>
            <w:tcW w:w="688" w:type="dxa"/>
            <w:vMerge w:val="continue"/>
            <w:tcBorders>
              <w:left w:val="single" w:color="auto" w:sz="4" w:space="0"/>
              <w:right w:val="single" w:color="auto" w:sz="4" w:space="0"/>
            </w:tcBorders>
            <w:noWrap w:val="0"/>
            <w:vAlign w:val="center"/>
          </w:tcPr>
          <w:p>
            <w:pPr>
              <w:rPr>
                <w:rFonts w:hint="default" w:ascii="Times New Roman" w:hAnsi="Times New Roman" w:cs="Times New Roman"/>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区大数据发展局</w:t>
            </w:r>
          </w:p>
        </w:tc>
        <w:tc>
          <w:tcPr>
            <w:tcW w:w="1074" w:type="dxa"/>
            <w:tcBorders>
              <w:top w:val="single" w:color="auto" w:sz="4" w:space="0"/>
              <w:left w:val="single" w:color="auto"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区人力社保局、区级有关部门</w:t>
            </w:r>
          </w:p>
        </w:tc>
        <w:tc>
          <w:tcPr>
            <w:tcW w:w="964"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跨部门数据协同</w:t>
            </w:r>
          </w:p>
        </w:tc>
        <w:tc>
          <w:tcPr>
            <w:tcW w:w="4648"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负责协调推进跨部门、跨层级数据信息共享，为社会保障卡跨部门应用和多领域业务协同提供技术支撑</w:t>
            </w:r>
            <w:r>
              <w:rPr>
                <w:rStyle w:val="35"/>
                <w:rFonts w:hint="default" w:ascii="Times New Roman" w:hAnsi="Times New Roman" w:eastAsia="方正仿宋_GBK" w:cs="Times New Roman"/>
                <w:color w:val="auto"/>
                <w:sz w:val="21"/>
                <w:szCs w:val="21"/>
                <w:lang w:bidi="ar"/>
              </w:rPr>
              <w:t>。</w:t>
            </w:r>
          </w:p>
        </w:tc>
        <w:tc>
          <w:tcPr>
            <w:tcW w:w="775"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w:t>
            </w:r>
          </w:p>
        </w:tc>
        <w:tc>
          <w:tcPr>
            <w:tcW w:w="887"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w:t>
            </w:r>
          </w:p>
        </w:tc>
        <w:tc>
          <w:tcPr>
            <w:tcW w:w="1025"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w:t>
            </w:r>
          </w:p>
        </w:tc>
        <w:tc>
          <w:tcPr>
            <w:tcW w:w="950"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w:t>
            </w:r>
          </w:p>
        </w:tc>
        <w:tc>
          <w:tcPr>
            <w:tcW w:w="945"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w:t>
            </w:r>
          </w:p>
        </w:tc>
      </w:tr>
      <w:tr>
        <w:tblPrEx>
          <w:tblCellMar>
            <w:top w:w="15" w:type="dxa"/>
            <w:left w:w="15" w:type="dxa"/>
            <w:bottom w:w="15" w:type="dxa"/>
            <w:right w:w="15" w:type="dxa"/>
          </w:tblCellMar>
        </w:tblPrEx>
        <w:trPr>
          <w:trHeight w:val="1047" w:hRule="atLeast"/>
          <w:jc w:val="center"/>
        </w:trPr>
        <w:tc>
          <w:tcPr>
            <w:tcW w:w="594" w:type="dxa"/>
            <w:tcBorders>
              <w:top w:val="single" w:color="000000" w:sz="4" w:space="0"/>
              <w:left w:val="single" w:color="000000" w:sz="4" w:space="0"/>
              <w:bottom w:val="single" w:color="000000" w:sz="4" w:space="0"/>
              <w:right w:val="single" w:color="auto"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46</w:t>
            </w:r>
          </w:p>
        </w:tc>
        <w:tc>
          <w:tcPr>
            <w:tcW w:w="688" w:type="dxa"/>
            <w:vMerge w:val="continue"/>
            <w:tcBorders>
              <w:left w:val="single" w:color="auto" w:sz="4" w:space="0"/>
              <w:right w:val="single" w:color="auto" w:sz="4" w:space="0"/>
            </w:tcBorders>
            <w:noWrap w:val="0"/>
            <w:vAlign w:val="center"/>
          </w:tcPr>
          <w:p>
            <w:pPr>
              <w:rPr>
                <w:rFonts w:hint="default" w:ascii="Times New Roman" w:hAnsi="Times New Roman" w:cs="Times New Roman"/>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区司法局</w:t>
            </w:r>
          </w:p>
        </w:tc>
        <w:tc>
          <w:tcPr>
            <w:tcW w:w="1074" w:type="dxa"/>
            <w:tcBorders>
              <w:top w:val="single" w:color="000000" w:sz="4" w:space="0"/>
              <w:left w:val="single" w:color="auto"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区人力社保局</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普法工作</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跟进全市社会保障卡</w:t>
            </w:r>
            <w:r>
              <w:rPr>
                <w:rFonts w:hint="eastAsia" w:ascii="Times New Roman" w:hAnsi="Times New Roman" w:eastAsia="方正仿宋_GBK" w:cs="Times New Roman"/>
                <w:kern w:val="0"/>
                <w:sz w:val="21"/>
                <w:szCs w:val="21"/>
                <w:lang w:eastAsia="zh-CN" w:bidi="ar"/>
              </w:rPr>
              <w:t>“</w:t>
            </w:r>
            <w:r>
              <w:rPr>
                <w:rFonts w:hint="default" w:ascii="Times New Roman" w:hAnsi="Times New Roman" w:eastAsia="方正仿宋_GBK" w:cs="Times New Roman"/>
                <w:kern w:val="0"/>
                <w:sz w:val="21"/>
                <w:szCs w:val="21"/>
                <w:lang w:bidi="ar"/>
              </w:rPr>
              <w:t>一卡通</w:t>
            </w:r>
            <w:r>
              <w:rPr>
                <w:rStyle w:val="35"/>
                <w:rFonts w:hint="eastAsia" w:ascii="Times New Roman" w:hAnsi="Times New Roman" w:eastAsia="方正仿宋_GBK" w:cs="Times New Roman"/>
                <w:color w:val="auto"/>
                <w:sz w:val="21"/>
                <w:szCs w:val="21"/>
                <w:lang w:eastAsia="zh-CN" w:bidi="ar"/>
              </w:rPr>
              <w:t>”</w:t>
            </w:r>
            <w:r>
              <w:rPr>
                <w:rStyle w:val="35"/>
                <w:rFonts w:hint="default" w:ascii="Times New Roman" w:hAnsi="Times New Roman" w:eastAsia="方正仿宋_GBK" w:cs="Times New Roman"/>
                <w:color w:val="auto"/>
                <w:sz w:val="21"/>
                <w:szCs w:val="21"/>
                <w:lang w:bidi="ar"/>
              </w:rPr>
              <w:t>立法工作，积极做好法治宣传。</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w:t>
            </w:r>
          </w:p>
        </w:tc>
      </w:tr>
      <w:tr>
        <w:tblPrEx>
          <w:tblCellMar>
            <w:top w:w="15" w:type="dxa"/>
            <w:left w:w="15" w:type="dxa"/>
            <w:bottom w:w="15" w:type="dxa"/>
            <w:right w:w="15" w:type="dxa"/>
          </w:tblCellMar>
        </w:tblPrEx>
        <w:trPr>
          <w:trHeight w:val="1249" w:hRule="atLeast"/>
          <w:jc w:val="center"/>
        </w:trPr>
        <w:tc>
          <w:tcPr>
            <w:tcW w:w="594" w:type="dxa"/>
            <w:tcBorders>
              <w:top w:val="single" w:color="000000" w:sz="4" w:space="0"/>
              <w:left w:val="single" w:color="000000" w:sz="4" w:space="0"/>
              <w:bottom w:val="single" w:color="000000" w:sz="4" w:space="0"/>
              <w:right w:val="single" w:color="auto"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47</w:t>
            </w:r>
          </w:p>
        </w:tc>
        <w:tc>
          <w:tcPr>
            <w:tcW w:w="688" w:type="dxa"/>
            <w:vMerge w:val="continue"/>
            <w:tcBorders>
              <w:left w:val="single" w:color="auto" w:sz="4" w:space="0"/>
              <w:bottom w:val="single" w:color="auto" w:sz="4" w:space="0"/>
              <w:right w:val="single" w:color="auto" w:sz="4" w:space="0"/>
            </w:tcBorders>
            <w:noWrap w:val="0"/>
            <w:vAlign w:val="center"/>
          </w:tcPr>
          <w:p>
            <w:pPr>
              <w:rPr>
                <w:rFonts w:hint="default" w:ascii="Times New Roman" w:hAnsi="Times New Roman" w:cs="Times New Roman"/>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区财政局</w:t>
            </w:r>
          </w:p>
        </w:tc>
        <w:tc>
          <w:tcPr>
            <w:tcW w:w="1074" w:type="dxa"/>
            <w:tcBorders>
              <w:top w:val="single" w:color="000000" w:sz="4" w:space="0"/>
              <w:left w:val="single" w:color="auto"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区人力社保局</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lang w:bidi="ar"/>
              </w:rPr>
              <w:t>保障</w:t>
            </w:r>
            <w:r>
              <w:rPr>
                <w:rFonts w:hint="eastAsia" w:ascii="Times New Roman" w:hAnsi="Times New Roman" w:eastAsia="方正仿宋_GBK" w:cs="Times New Roman"/>
                <w:kern w:val="0"/>
                <w:sz w:val="21"/>
                <w:szCs w:val="21"/>
                <w:lang w:eastAsia="zh-CN" w:bidi="ar"/>
              </w:rPr>
              <w:t>“</w:t>
            </w:r>
            <w:r>
              <w:rPr>
                <w:rFonts w:hint="default" w:ascii="Times New Roman" w:hAnsi="Times New Roman" w:eastAsia="方正仿宋_GBK" w:cs="Times New Roman"/>
                <w:kern w:val="0"/>
                <w:sz w:val="21"/>
                <w:szCs w:val="21"/>
                <w:lang w:bidi="ar"/>
              </w:rPr>
              <w:t>一卡通</w:t>
            </w:r>
            <w:r>
              <w:rPr>
                <w:rFonts w:hint="eastAsia" w:ascii="Times New Roman" w:hAnsi="Times New Roman" w:eastAsia="方正仿宋_GBK" w:cs="Times New Roman"/>
                <w:kern w:val="0"/>
                <w:sz w:val="21"/>
                <w:szCs w:val="21"/>
                <w:lang w:eastAsia="zh-CN" w:bidi="ar"/>
              </w:rPr>
              <w:t>”</w:t>
            </w:r>
            <w:r>
              <w:rPr>
                <w:rFonts w:hint="default" w:ascii="Times New Roman" w:hAnsi="Times New Roman" w:eastAsia="方正仿宋_GBK" w:cs="Times New Roman"/>
                <w:kern w:val="0"/>
                <w:sz w:val="21"/>
                <w:szCs w:val="21"/>
                <w:lang w:bidi="ar"/>
              </w:rPr>
              <w:t>建设</w:t>
            </w:r>
          </w:p>
        </w:tc>
        <w:tc>
          <w:tcPr>
            <w:tcW w:w="464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left"/>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保障居民服务</w:t>
            </w:r>
            <w:r>
              <w:rPr>
                <w:rStyle w:val="35"/>
                <w:rFonts w:hint="eastAsia" w:ascii="Times New Roman" w:hAnsi="Times New Roman" w:eastAsia="方正仿宋_GBK" w:cs="Times New Roman"/>
                <w:color w:val="auto"/>
                <w:sz w:val="21"/>
                <w:szCs w:val="21"/>
                <w:lang w:eastAsia="zh-CN" w:bidi="ar"/>
              </w:rPr>
              <w:t>“</w:t>
            </w:r>
            <w:r>
              <w:rPr>
                <w:rStyle w:val="35"/>
                <w:rFonts w:hint="default" w:ascii="Times New Roman" w:hAnsi="Times New Roman" w:eastAsia="方正仿宋_GBK" w:cs="Times New Roman"/>
                <w:color w:val="auto"/>
                <w:sz w:val="21"/>
                <w:szCs w:val="21"/>
                <w:lang w:bidi="ar"/>
              </w:rPr>
              <w:t>一卡通</w:t>
            </w:r>
            <w:r>
              <w:rPr>
                <w:rStyle w:val="35"/>
                <w:rFonts w:hint="eastAsia" w:ascii="Times New Roman" w:hAnsi="Times New Roman" w:eastAsia="方正仿宋_GBK" w:cs="Times New Roman"/>
                <w:color w:val="auto"/>
                <w:sz w:val="21"/>
                <w:szCs w:val="21"/>
                <w:lang w:eastAsia="zh-CN" w:bidi="ar"/>
              </w:rPr>
              <w:t>”</w:t>
            </w:r>
            <w:r>
              <w:rPr>
                <w:rStyle w:val="35"/>
                <w:rFonts w:hint="default" w:ascii="Times New Roman" w:hAnsi="Times New Roman" w:eastAsia="方正仿宋_GBK" w:cs="Times New Roman"/>
                <w:color w:val="auto"/>
                <w:sz w:val="21"/>
                <w:szCs w:val="21"/>
                <w:lang w:bidi="ar"/>
              </w:rPr>
              <w:t>用卡环境建设、系统改造。</w:t>
            </w:r>
          </w:p>
        </w:tc>
        <w:tc>
          <w:tcPr>
            <w:tcW w:w="7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w:t>
            </w:r>
          </w:p>
        </w:tc>
        <w:tc>
          <w:tcPr>
            <w:tcW w:w="88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w:t>
            </w:r>
          </w:p>
        </w:tc>
        <w:tc>
          <w:tcPr>
            <w:tcW w:w="102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60" w:lineRule="exact"/>
              <w:jc w:val="center"/>
              <w:textAlignment w:val="center"/>
              <w:rPr>
                <w:rFonts w:hint="default" w:ascii="Times New Roman" w:hAnsi="Times New Roman" w:eastAsia="方正仿宋_GBK" w:cs="Times New Roman"/>
                <w:kern w:val="0"/>
                <w:sz w:val="21"/>
                <w:szCs w:val="21"/>
                <w:lang w:bidi="ar"/>
              </w:rPr>
            </w:pPr>
            <w:r>
              <w:rPr>
                <w:rFonts w:hint="default" w:ascii="Times New Roman" w:hAnsi="Times New Roman" w:eastAsia="方正仿宋_GBK" w:cs="Times New Roman"/>
                <w:kern w:val="0"/>
                <w:sz w:val="21"/>
                <w:szCs w:val="21"/>
                <w:lang w:bidi="ar"/>
              </w:rPr>
              <w:t>\</w:t>
            </w:r>
          </w:p>
        </w:tc>
      </w:tr>
      <w:bookmarkEnd w:id="3"/>
    </w:tbl>
    <w:p>
      <w:pPr>
        <w:spacing w:line="400" w:lineRule="exact"/>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br w:type="page"/>
      </w:r>
      <w:r>
        <w:rPr>
          <w:rFonts w:hint="default" w:ascii="Times New Roman" w:hAnsi="Times New Roman" w:eastAsia="方正黑体_GBK" w:cs="Times New Roman"/>
          <w:sz w:val="28"/>
          <w:szCs w:val="28"/>
        </w:rPr>
        <w:t>说  明</w:t>
      </w:r>
    </w:p>
    <w:p>
      <w:pPr>
        <w:spacing w:line="400" w:lineRule="exact"/>
        <w:ind w:left="420" w:hanging="420" w:hangingChars="15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一、服务事项：社会保障卡应用的某个具体场景。</w:t>
      </w:r>
    </w:p>
    <w:p>
      <w:pPr>
        <w:spacing w:line="400" w:lineRule="exact"/>
        <w:ind w:left="420" w:hanging="420" w:hangingChars="15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二、具体内容：具体的工作任务及应用场景对应的详细功能描述。</w:t>
      </w:r>
    </w:p>
    <w:p>
      <w:pPr>
        <w:spacing w:line="400" w:lineRule="exact"/>
        <w:ind w:left="420" w:hanging="420" w:hangingChars="15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三、用卡方式：实体卡（社会保障卡）、电子卡（电子社保卡）。</w:t>
      </w:r>
    </w:p>
    <w:p>
      <w:pPr>
        <w:spacing w:line="400" w:lineRule="exact"/>
        <w:ind w:left="420" w:hanging="420" w:hangingChars="15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四、应用类别：身份识别、资金发放、缴费支付。</w:t>
      </w:r>
    </w:p>
    <w:p>
      <w:pPr>
        <w:spacing w:line="400" w:lineRule="exact"/>
        <w:ind w:left="420" w:hanging="420" w:hangingChars="15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五、推进计划（应用深度）：</w:t>
      </w:r>
    </w:p>
    <w:p>
      <w:pPr>
        <w:spacing w:line="400" w:lineRule="exact"/>
        <w:ind w:left="420" w:hanging="420" w:hangingChars="15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eastAsia="zh-CN"/>
        </w:rPr>
        <w:t>1.</w:t>
      </w:r>
      <w:r>
        <w:rPr>
          <w:rFonts w:hint="default" w:ascii="Times New Roman" w:hAnsi="Times New Roman" w:eastAsia="方正仿宋_GBK" w:cs="Times New Roman"/>
          <w:sz w:val="28"/>
          <w:szCs w:val="28"/>
        </w:rPr>
        <w:t>身份识别类。设置三个应用深度：一级应用深度为50％以上应用场景支持实体社会保障卡或电子社保卡进行身份核验；二级应用深度为70％以上应用场景支持实体社会保障卡或电子社保卡进行身份核验；三级应用深度90％以上应用场景支持实体社会保障卡或电子社保卡进行身份核验。</w:t>
      </w:r>
    </w:p>
    <w:p>
      <w:pPr>
        <w:spacing w:line="400" w:lineRule="exact"/>
        <w:ind w:left="420" w:hanging="420" w:hangingChars="15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eastAsia="zh-CN"/>
        </w:rPr>
        <w:t>2.</w:t>
      </w:r>
      <w:r>
        <w:rPr>
          <w:rFonts w:hint="default" w:ascii="Times New Roman" w:hAnsi="Times New Roman" w:eastAsia="方正仿宋_GBK" w:cs="Times New Roman"/>
          <w:sz w:val="28"/>
          <w:szCs w:val="28"/>
        </w:rPr>
        <w:t>资金发放类。设置三个应用深度：一级应用深度为50％以上服务对象通过社会保障卡金融账户发放资金；二级应用深度为70％以上服务对象通过社会保障卡金融账户发放资金；三级应用深度为90％以上服务对象通过社会保障卡金融账户发放资金。</w:t>
      </w:r>
    </w:p>
    <w:p>
      <w:pPr>
        <w:spacing w:line="400" w:lineRule="exact"/>
        <w:ind w:left="420" w:hanging="420" w:hangingChars="15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eastAsia="zh-CN"/>
        </w:rPr>
        <w:t>3.</w:t>
      </w:r>
      <w:r>
        <w:rPr>
          <w:rFonts w:hint="default" w:ascii="Times New Roman" w:hAnsi="Times New Roman" w:eastAsia="方正仿宋_GBK" w:cs="Times New Roman"/>
          <w:sz w:val="28"/>
          <w:szCs w:val="28"/>
        </w:rPr>
        <w:t>缴费支付类。设置两个应用深度：一级深度为支持通过社会保障卡金融账户缴纳相关费用：二级应用深度为加入电子社保卡协约商户，直接通过电子社保卡拉起账单缴纳相关费用。</w:t>
      </w:r>
    </w:p>
    <w:p>
      <w:pPr>
        <w:spacing w:line="320" w:lineRule="exact"/>
        <w:ind w:left="420" w:hanging="420" w:hangingChars="150"/>
        <w:rPr>
          <w:rFonts w:hint="default" w:ascii="Times New Roman" w:hAnsi="Times New Roman" w:eastAsia="方正仿宋_GBK" w:cs="Times New Roman"/>
          <w:sz w:val="28"/>
          <w:szCs w:val="28"/>
        </w:rPr>
      </w:pPr>
    </w:p>
    <w:p>
      <w:pPr>
        <w:spacing w:line="560" w:lineRule="exact"/>
        <w:rPr>
          <w:rFonts w:hint="default" w:ascii="Times New Roman" w:hAnsi="Times New Roman" w:eastAsia="方正黑体_GBK" w:cs="Times New Roman"/>
          <w:szCs w:val="32"/>
        </w:rPr>
      </w:pPr>
      <w:r>
        <w:rPr>
          <w:rFonts w:hint="default" w:ascii="Times New Roman" w:hAnsi="Times New Roman" w:eastAsia="方正仿宋_GBK" w:cs="Times New Roman"/>
          <w:szCs w:val="32"/>
        </w:rPr>
        <w:br w:type="page"/>
      </w:r>
      <w:r>
        <w:rPr>
          <w:rFonts w:hint="eastAsia" w:ascii="方正黑体_GBK" w:hAnsi="方正黑体_GBK" w:eastAsia="方正黑体_GBK" w:cs="方正黑体_GBK"/>
          <w:sz w:val="32"/>
          <w:szCs w:val="32"/>
        </w:rPr>
        <w:t>附件2</w:t>
      </w:r>
    </w:p>
    <w:p>
      <w:pPr>
        <w:spacing w:line="56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黔江区居民服务</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一卡通</w:t>
      </w: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rPr>
        <w:t>工作专班责任单位联系名册</w:t>
      </w:r>
    </w:p>
    <w:p>
      <w:pPr>
        <w:spacing w:line="560" w:lineRule="exact"/>
        <w:jc w:val="center"/>
        <w:rPr>
          <w:rFonts w:hint="default" w:ascii="Times New Roman" w:hAnsi="Times New Roman" w:eastAsia="方正小标宋_GBK" w:cs="Times New Roman"/>
          <w:sz w:val="44"/>
          <w:szCs w:val="44"/>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2510"/>
        <w:gridCol w:w="1612"/>
        <w:gridCol w:w="1988"/>
        <w:gridCol w:w="1483"/>
        <w:gridCol w:w="3166"/>
        <w:gridCol w:w="1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908" w:type="dxa"/>
            <w:noWrap w:val="0"/>
            <w:vAlign w:val="center"/>
          </w:tcPr>
          <w:p>
            <w:pPr>
              <w:widowControl/>
              <w:jc w:val="center"/>
              <w:textAlignment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kern w:val="0"/>
                <w:sz w:val="24"/>
                <w:szCs w:val="24"/>
                <w:lang w:bidi="ar"/>
              </w:rPr>
              <w:t>序号</w:t>
            </w:r>
          </w:p>
        </w:tc>
        <w:tc>
          <w:tcPr>
            <w:tcW w:w="2510" w:type="dxa"/>
            <w:noWrap w:val="0"/>
            <w:vAlign w:val="center"/>
          </w:tcPr>
          <w:p>
            <w:pPr>
              <w:widowControl/>
              <w:jc w:val="center"/>
              <w:textAlignment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kern w:val="0"/>
                <w:sz w:val="24"/>
                <w:szCs w:val="24"/>
                <w:lang w:bidi="ar"/>
              </w:rPr>
              <w:t>单位名称</w:t>
            </w:r>
          </w:p>
        </w:tc>
        <w:tc>
          <w:tcPr>
            <w:tcW w:w="1612" w:type="dxa"/>
            <w:noWrap w:val="0"/>
            <w:vAlign w:val="center"/>
          </w:tcPr>
          <w:p>
            <w:pPr>
              <w:widowControl/>
              <w:jc w:val="center"/>
              <w:textAlignment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kern w:val="0"/>
                <w:sz w:val="24"/>
                <w:szCs w:val="24"/>
                <w:lang w:bidi="ar"/>
              </w:rPr>
              <w:t>分管领导</w:t>
            </w:r>
          </w:p>
        </w:tc>
        <w:tc>
          <w:tcPr>
            <w:tcW w:w="1988" w:type="dxa"/>
            <w:noWrap w:val="0"/>
            <w:vAlign w:val="center"/>
          </w:tcPr>
          <w:p>
            <w:pPr>
              <w:widowControl/>
              <w:jc w:val="center"/>
              <w:textAlignment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kern w:val="0"/>
                <w:sz w:val="24"/>
                <w:szCs w:val="24"/>
                <w:lang w:bidi="ar"/>
              </w:rPr>
              <w:t>联系电话</w:t>
            </w:r>
          </w:p>
        </w:tc>
        <w:tc>
          <w:tcPr>
            <w:tcW w:w="1483" w:type="dxa"/>
            <w:noWrap w:val="0"/>
            <w:vAlign w:val="center"/>
          </w:tcPr>
          <w:p>
            <w:pPr>
              <w:widowControl/>
              <w:jc w:val="center"/>
              <w:textAlignment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kern w:val="0"/>
                <w:sz w:val="24"/>
                <w:szCs w:val="24"/>
                <w:lang w:bidi="ar"/>
              </w:rPr>
              <w:t>工作人员</w:t>
            </w:r>
          </w:p>
        </w:tc>
        <w:tc>
          <w:tcPr>
            <w:tcW w:w="3166" w:type="dxa"/>
            <w:noWrap w:val="0"/>
            <w:vAlign w:val="center"/>
          </w:tcPr>
          <w:p>
            <w:pPr>
              <w:widowControl/>
              <w:jc w:val="center"/>
              <w:textAlignment w:val="center"/>
              <w:rPr>
                <w:rFonts w:hint="default" w:ascii="Times New Roman" w:hAnsi="Times New Roman" w:eastAsia="方正黑体_GBK" w:cs="Times New Roman"/>
                <w:sz w:val="24"/>
                <w:szCs w:val="24"/>
              </w:rPr>
            </w:pPr>
            <w:r>
              <w:rPr>
                <w:rFonts w:hint="default" w:ascii="Times New Roman" w:hAnsi="Times New Roman" w:eastAsia="方正黑体_GBK" w:cs="Times New Roman"/>
                <w:kern w:val="0"/>
                <w:sz w:val="24"/>
                <w:szCs w:val="24"/>
                <w:lang w:bidi="ar"/>
              </w:rPr>
              <w:t>科室及职务</w:t>
            </w:r>
          </w:p>
        </w:tc>
        <w:tc>
          <w:tcPr>
            <w:tcW w:w="1805" w:type="dxa"/>
            <w:noWrap w:val="0"/>
            <w:vAlign w:val="center"/>
          </w:tcPr>
          <w:p>
            <w:pPr>
              <w:widowControl/>
              <w:jc w:val="center"/>
              <w:textAlignment w:val="center"/>
              <w:rPr>
                <w:rFonts w:hint="default" w:ascii="Times New Roman" w:hAnsi="Times New Roman" w:eastAsia="方正黑体_GBK" w:cs="Times New Roman"/>
                <w:kern w:val="0"/>
                <w:sz w:val="24"/>
                <w:szCs w:val="24"/>
                <w:lang w:bidi="ar"/>
              </w:rPr>
            </w:pPr>
            <w:r>
              <w:rPr>
                <w:rFonts w:hint="default" w:ascii="Times New Roman" w:hAnsi="Times New Roman" w:eastAsia="方正黑体_GBK" w:cs="Times New Roman"/>
                <w:kern w:val="0"/>
                <w:sz w:val="24"/>
                <w:szCs w:val="24"/>
                <w:lang w:bidi="ar"/>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1</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区纪委监委机关</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杨玉峰</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13896815598</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胡慧珍</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第四纪检监察室工作人员</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19896201048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2</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区委宣</w:t>
            </w:r>
            <w:r>
              <w:rPr>
                <w:rFonts w:hint="default" w:ascii="Times New Roman" w:hAnsi="Times New Roman" w:eastAsia="方正仿宋_GBK" w:cs="Times New Roman"/>
                <w:sz w:val="28"/>
                <w:szCs w:val="28"/>
              </w:rPr>
              <w:t>传部</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刘世超</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13996952756</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游洋</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新闻科工作人员</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13908274547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3</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sz w:val="28"/>
                <w:szCs w:val="28"/>
              </w:rPr>
              <w:t>区委网信办</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刘其慧</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18908271268</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陶懿</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网络舆情科负责人</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18580912009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4</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区政府办公室</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color w:val="171A1D"/>
                <w:sz w:val="28"/>
                <w:szCs w:val="28"/>
                <w:shd w:val="clear" w:color="auto" w:fill="FFFFFF"/>
              </w:rPr>
              <w:t>龚明洋</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171A1D"/>
                <w:sz w:val="28"/>
                <w:szCs w:val="28"/>
                <w:shd w:val="clear" w:color="auto" w:fill="FFFFFF"/>
              </w:rPr>
              <w:t>13896480512</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171A1D"/>
                <w:sz w:val="28"/>
                <w:szCs w:val="28"/>
                <w:shd w:val="clear" w:color="auto" w:fill="FFFFFF"/>
              </w:rPr>
              <w:t>赵锦涛</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第</w:t>
            </w:r>
            <w:r>
              <w:rPr>
                <w:rFonts w:hint="default" w:ascii="Times New Roman" w:hAnsi="Times New Roman" w:eastAsia="方正仿宋_GBK" w:cs="Times New Roman"/>
                <w:sz w:val="28"/>
                <w:szCs w:val="28"/>
              </w:rPr>
              <w:t>二</w:t>
            </w:r>
            <w:r>
              <w:rPr>
                <w:rFonts w:hint="default" w:ascii="Times New Roman" w:hAnsi="Times New Roman" w:eastAsia="方正仿宋_GBK" w:cs="Times New Roman"/>
                <w:sz w:val="28"/>
                <w:szCs w:val="28"/>
                <w:lang w:val="en-US" w:eastAsia="zh-CN"/>
              </w:rPr>
              <w:t>秘书</w:t>
            </w:r>
            <w:r>
              <w:rPr>
                <w:rFonts w:hint="default" w:ascii="Times New Roman" w:hAnsi="Times New Roman" w:eastAsia="方正仿宋_GBK" w:cs="Times New Roman"/>
                <w:sz w:val="28"/>
                <w:szCs w:val="28"/>
              </w:rPr>
              <w:t>科工作人员</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18225357818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区发展改革委</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171A1D"/>
                <w:sz w:val="28"/>
                <w:szCs w:val="28"/>
                <w:shd w:val="clear" w:color="auto" w:fill="FFFFFF"/>
              </w:rPr>
            </w:pPr>
            <w:r>
              <w:rPr>
                <w:rFonts w:hint="default" w:ascii="Times New Roman" w:hAnsi="Times New Roman" w:eastAsia="方正仿宋_GBK" w:cs="Times New Roman"/>
                <w:color w:val="171A1D"/>
                <w:sz w:val="28"/>
                <w:szCs w:val="28"/>
                <w:shd w:val="clear" w:color="auto" w:fill="FFFFFF"/>
              </w:rPr>
              <w:t>龚言新</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171A1D"/>
                <w:sz w:val="28"/>
                <w:szCs w:val="28"/>
                <w:shd w:val="clear" w:color="auto" w:fill="FFFFFF"/>
              </w:rPr>
            </w:pPr>
            <w:r>
              <w:rPr>
                <w:rFonts w:hint="default" w:ascii="Times New Roman" w:hAnsi="Times New Roman" w:eastAsia="方正仿宋_GBK" w:cs="Times New Roman"/>
                <w:color w:val="171A1D"/>
                <w:sz w:val="28"/>
                <w:szCs w:val="28"/>
                <w:shd w:val="clear" w:color="auto" w:fill="FFFFFF"/>
              </w:rPr>
              <w:t>13657675958</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171A1D"/>
                <w:sz w:val="28"/>
                <w:szCs w:val="28"/>
                <w:shd w:val="clear" w:color="auto" w:fill="FFFFFF"/>
              </w:rPr>
            </w:pPr>
            <w:r>
              <w:rPr>
                <w:rFonts w:hint="default" w:ascii="Times New Roman" w:hAnsi="Times New Roman" w:eastAsia="方正仿宋_GBK" w:cs="Times New Roman"/>
                <w:color w:val="171A1D"/>
                <w:sz w:val="28"/>
                <w:szCs w:val="28"/>
                <w:shd w:val="clear" w:color="auto" w:fill="FFFFFF"/>
              </w:rPr>
              <w:t>任月琴</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171A1D"/>
                <w:sz w:val="28"/>
                <w:szCs w:val="28"/>
                <w:shd w:val="clear" w:color="auto" w:fill="FFFFFF"/>
              </w:rPr>
            </w:pPr>
            <w:r>
              <w:rPr>
                <w:rFonts w:hint="default" w:ascii="Times New Roman" w:hAnsi="Times New Roman" w:eastAsia="方正仿宋_GBK" w:cs="Times New Roman"/>
                <w:color w:val="171A1D"/>
                <w:sz w:val="28"/>
                <w:szCs w:val="28"/>
                <w:shd w:val="clear" w:color="auto" w:fill="FFFFFF"/>
              </w:rPr>
              <w:t>改革综合科科长</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15215119971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6</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区教委</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吴国彩</w:t>
            </w:r>
            <w:r>
              <w:rPr>
                <w:rFonts w:hint="default" w:ascii="Times New Roman" w:hAnsi="Times New Roman" w:eastAsia="方正仿宋_GBK" w:cs="Times New Roman"/>
                <w:sz w:val="28"/>
                <w:szCs w:val="28"/>
              </w:rPr>
              <w:cr/>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13908271943</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程小琼</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学生服务中心主任</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13609488042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7</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区经济信息委</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于欣正</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19115019203</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华杰</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行业管理科科长</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18996907185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8</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区公安局</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徐得配</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13996969886</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华翊</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治安支队二大队治安员</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19802752010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9</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区民政局</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曾灿</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19923071222</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陈思竹</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办公室工作人员</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15310788696</w:t>
            </w:r>
          </w:p>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10</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区司法局</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冉健军</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13983574289</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陈斌</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人民参与和促进科科长</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13983563688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11</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区财政局</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杨可</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color w:val="171A1D"/>
                <w:sz w:val="28"/>
                <w:szCs w:val="28"/>
                <w:shd w:val="clear" w:color="auto" w:fill="FFFFFF"/>
              </w:rPr>
              <w:t>13908271625</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罗扬</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社保科二级主任科员</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15023569172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12</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区人力社保局</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张云奎</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18908272169</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罗先全</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信息宣传科负责人</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18996959799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13</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区住房城乡建委</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卢洲</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13996903007</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兰棚</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建设事务中心工作人员</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13594974699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14</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区城市管理局</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金玉洪</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13609486850</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方磊</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审批科科长</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15023565025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15</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区交通运输委</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冉雪飞</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18908278789</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胡其巧</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运输科工作人员</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13193204463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16</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区水利局</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陈浩</w:t>
            </w:r>
            <w:r>
              <w:rPr>
                <w:rFonts w:hint="default" w:ascii="Times New Roman" w:hAnsi="Times New Roman" w:eastAsia="方正仿宋_GBK" w:cs="Times New Roman"/>
                <w:sz w:val="28"/>
                <w:szCs w:val="28"/>
              </w:rPr>
              <w:cr/>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13883394663</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蒲远兰</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办公室工作人员</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13635389156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17</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区农业农村委</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曾平</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13320398986</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潘莉</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计划财务科科长</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17783927679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18</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区文化旅游委</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徐苏舒</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18183191990</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雷杨洁</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工作人员</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13368403736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19</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区卫生健康委</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向文献</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13320399797</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黄晓</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党群办主任</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13320390790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20</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区医保局</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张林</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18908276677</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龙放</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基金监测科科长</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18996952800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21</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区林业局</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邓芳</w:t>
            </w:r>
            <w:r>
              <w:rPr>
                <w:rFonts w:hint="default" w:ascii="Times New Roman" w:hAnsi="Times New Roman" w:eastAsia="方正仿宋_GBK" w:cs="Times New Roman"/>
                <w:sz w:val="28"/>
                <w:szCs w:val="28"/>
              </w:rPr>
              <w:cr/>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18996951221</w:t>
            </w:r>
            <w:r>
              <w:rPr>
                <w:rFonts w:hint="default" w:ascii="Times New Roman" w:hAnsi="Times New Roman" w:eastAsia="方正仿宋_GBK" w:cs="Times New Roman"/>
                <w:sz w:val="28"/>
                <w:szCs w:val="28"/>
              </w:rPr>
              <w:cr/>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王志刚</w:t>
            </w:r>
            <w:r>
              <w:rPr>
                <w:rFonts w:hint="default" w:ascii="Times New Roman" w:hAnsi="Times New Roman" w:eastAsia="方正仿宋_GBK" w:cs="Times New Roman"/>
                <w:sz w:val="28"/>
                <w:szCs w:val="28"/>
              </w:rPr>
              <w:cr/>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计财科负责人</w:t>
            </w:r>
            <w:r>
              <w:rPr>
                <w:rFonts w:hint="default" w:ascii="Times New Roman" w:hAnsi="Times New Roman" w:eastAsia="方正仿宋_GBK" w:cs="Times New Roman"/>
                <w:sz w:val="28"/>
                <w:szCs w:val="28"/>
              </w:rPr>
              <w:cr/>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13308272323</w:t>
            </w:r>
            <w:r>
              <w:rPr>
                <w:rFonts w:hint="default" w:ascii="Times New Roman" w:hAnsi="Times New Roman" w:eastAsia="方正仿宋_GBK" w:cs="Times New Roman"/>
                <w:kern w:val="0"/>
                <w:sz w:val="28"/>
                <w:szCs w:val="28"/>
                <w:lang w:val="en-US" w:eastAsia="zh-CN" w:bidi="ar"/>
              </w:rPr>
              <w:cr/>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22</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区大数据发展局</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李祖江</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18996908006</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简虹剑</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数据管理科工作人员</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19923036579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23</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区总工会</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周祖超</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13609482256</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曾晓红</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财务室工作人员</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13648249905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24</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区残联</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兰才进</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13896889423</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李娟</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康复维权部工作人员</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18996959563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25</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区行政服务中心</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马松</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13908272243</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周婧</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电子政务管理站负责人</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19123570100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26</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黔江区税务局</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rPr>
            </w:pPr>
            <w:r>
              <w:rPr>
                <w:rFonts w:hint="default" w:ascii="Times New Roman" w:hAnsi="Times New Roman" w:eastAsia="方正仿宋_GBK" w:cs="Times New Roman"/>
                <w:kern w:val="0"/>
                <w:sz w:val="28"/>
                <w:szCs w:val="28"/>
              </w:rPr>
              <w:t>李乐</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rPr>
            </w:pPr>
            <w:r>
              <w:rPr>
                <w:rFonts w:hint="default" w:ascii="Times New Roman" w:hAnsi="Times New Roman" w:eastAsia="方正仿宋_GBK" w:cs="Times New Roman"/>
                <w:kern w:val="0"/>
                <w:sz w:val="28"/>
                <w:szCs w:val="28"/>
              </w:rPr>
              <w:t>18523531221</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rPr>
            </w:pPr>
            <w:r>
              <w:rPr>
                <w:rFonts w:hint="default" w:ascii="Times New Roman" w:hAnsi="Times New Roman" w:eastAsia="方正仿宋_GBK" w:cs="Times New Roman"/>
                <w:kern w:val="0"/>
                <w:sz w:val="28"/>
                <w:szCs w:val="28"/>
              </w:rPr>
              <w:t>余平</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rPr>
            </w:pPr>
            <w:r>
              <w:rPr>
                <w:rFonts w:hint="default" w:ascii="Times New Roman" w:hAnsi="Times New Roman" w:eastAsia="方正仿宋_GBK" w:cs="Times New Roman"/>
                <w:kern w:val="0"/>
                <w:sz w:val="28"/>
                <w:szCs w:val="28"/>
              </w:rPr>
              <w:t>征管科副科长</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13648231823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exact"/>
          <w:jc w:val="center"/>
        </w:trPr>
        <w:tc>
          <w:tcPr>
            <w:tcW w:w="90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27</w:t>
            </w:r>
          </w:p>
        </w:tc>
        <w:tc>
          <w:tcPr>
            <w:tcW w:w="2510"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人行黔江分行</w:t>
            </w:r>
          </w:p>
        </w:tc>
        <w:tc>
          <w:tcPr>
            <w:tcW w:w="16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欧丽</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13896849007</w:t>
            </w:r>
          </w:p>
        </w:tc>
        <w:tc>
          <w:tcPr>
            <w:tcW w:w="1483"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宋伶俐</w:t>
            </w:r>
          </w:p>
        </w:tc>
        <w:tc>
          <w:tcPr>
            <w:tcW w:w="3166"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货币金银科副科长</w:t>
            </w:r>
          </w:p>
        </w:tc>
        <w:tc>
          <w:tcPr>
            <w:tcW w:w="1805"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kern w:val="0"/>
                <w:sz w:val="28"/>
                <w:szCs w:val="28"/>
                <w:lang w:val="en-US" w:eastAsia="zh-CN" w:bidi="ar"/>
              </w:rPr>
            </w:pPr>
            <w:r>
              <w:rPr>
                <w:rFonts w:hint="default" w:ascii="Times New Roman" w:hAnsi="Times New Roman" w:eastAsia="方正仿宋_GBK" w:cs="Times New Roman"/>
                <w:kern w:val="0"/>
                <w:sz w:val="28"/>
                <w:szCs w:val="28"/>
                <w:lang w:val="en-US" w:eastAsia="zh-CN" w:bidi="ar"/>
              </w:rPr>
              <w:t>17383039718</w:t>
            </w:r>
          </w:p>
        </w:tc>
      </w:tr>
    </w:tbl>
    <w:p>
      <w:pPr>
        <w:keepNext w:val="0"/>
        <w:keepLines w:val="0"/>
        <w:pageBreakBefore w:val="0"/>
        <w:widowControl/>
        <w:kinsoku/>
        <w:wordWrap/>
        <w:overflowPunct/>
        <w:topLinePunct w:val="0"/>
        <w:autoSpaceDE/>
        <w:autoSpaceDN/>
        <w:bidi w:val="0"/>
        <w:adjustRightInd/>
        <w:snapToGrid/>
        <w:spacing w:beforeAutospacing="0" w:after="0" w:afterAutospacing="0" w:line="579" w:lineRule="exact"/>
        <w:ind w:right="0"/>
        <w:jc w:val="center"/>
        <w:textAlignment w:val="baseline"/>
        <w:rPr>
          <w:rFonts w:hint="default" w:ascii="Times New Roman" w:hAnsi="Times New Roman" w:eastAsia="方正仿宋_GBK" w:cs="Times New Roman"/>
          <w:b w:val="0"/>
          <w:i w:val="0"/>
          <w:caps w:val="0"/>
          <w:spacing w:val="0"/>
          <w:w w:val="100"/>
          <w:kern w:val="2"/>
          <w:sz w:val="32"/>
          <w:szCs w:val="32"/>
          <w:lang w:val="en-US" w:eastAsia="zh-CN" w:bidi="ar-SA"/>
        </w:rPr>
      </w:pPr>
    </w:p>
    <w:bookmarkEnd w:id="0"/>
    <w:bookmarkEnd w:id="1"/>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sectPr>
          <w:headerReference r:id="rId4" w:type="default"/>
          <w:footerReference r:id="rId5" w:type="default"/>
          <w:pgSz w:w="16838" w:h="11906" w:orient="landscape"/>
          <w:pgMar w:top="2098" w:right="1474" w:bottom="1984" w:left="1587" w:header="851" w:footer="1417" w:gutter="0"/>
          <w:pgNumType w:fmt="decimal"/>
          <w:cols w:space="720" w:num="1"/>
          <w:rtlGutter w:val="0"/>
          <w:docGrid w:type="lines" w:linePitch="321" w:charSpace="0"/>
        </w:sect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val="0"/>
        <w:kinsoku/>
        <w:wordWrap/>
        <w:overflowPunct/>
        <w:topLinePunct w:val="0"/>
        <w:autoSpaceDE/>
        <w:autoSpaceDN/>
        <w:bidi w:val="0"/>
        <w:adjustRightInd/>
        <w:snapToGrid/>
        <w:spacing w:line="579" w:lineRule="exact"/>
        <w:textAlignment w:val="baseline"/>
        <w:rPr>
          <w:rFonts w:hint="default" w:ascii="Times New Roman" w:hAnsi="Times New Roman" w:cs="Times New Roman"/>
          <w:lang w:eastAsia="zh-CN"/>
        </w:rPr>
      </w:pPr>
    </w:p>
    <w:p>
      <w:pPr>
        <w:pStyle w:val="27"/>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jc w:val="both"/>
        <w:textAlignment w:val="baseline"/>
        <w:rPr>
          <w:rStyle w:val="30"/>
          <w:rFonts w:hint="default" w:ascii="Times New Roman" w:hAnsi="Times New Roman" w:eastAsia="宋体" w:cs="Times New Roman"/>
          <w:b w:val="0"/>
          <w:i w:val="0"/>
          <w:caps w:val="0"/>
          <w:color w:val="000000"/>
          <w:spacing w:val="0"/>
          <w:w w:val="100"/>
          <w:kern w:val="2"/>
          <w:sz w:val="21"/>
          <w:szCs w:val="21"/>
          <w:lang w:val="en-US" w:eastAsia="zh-CN" w:bidi="ar-SA"/>
        </w:rPr>
      </w:pPr>
    </w:p>
    <w:p>
      <w:pPr>
        <w:ind w:firstLine="280" w:firstLineChars="100"/>
        <w:rPr>
          <w:rFonts w:hint="default" w:ascii="Times New Roman" w:hAnsi="Times New Roman" w:eastAsia="宋体" w:cs="Times New Roman"/>
          <w:lang w:val="en-US" w:eastAsia="zh-CN"/>
        </w:rPr>
      </w:pPr>
      <w:r>
        <w:rPr>
          <w:rStyle w:val="30"/>
          <w:rFonts w:hint="default" w:ascii="Times New Roman" w:hAnsi="Times New Roman" w:eastAsia="方正仿宋_GBK" w:cs="Times New Roman"/>
          <w:b w:val="0"/>
          <w:i w:val="0"/>
          <w:caps w:val="0"/>
          <w:color w:val="000000"/>
          <w:spacing w:val="0"/>
          <w:w w:val="100"/>
          <w:kern w:val="2"/>
          <w:sz w:val="28"/>
          <w:szCs w:val="28"/>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339090</wp:posOffset>
                </wp:positionV>
                <wp:extent cx="5652135" cy="0"/>
                <wp:effectExtent l="0" t="0" r="0" b="0"/>
                <wp:wrapNone/>
                <wp:docPr id="2" name="直线 9"/>
                <wp:cNvGraphicFramePr/>
                <a:graphic xmlns:a="http://schemas.openxmlformats.org/drawingml/2006/main">
                  <a:graphicData uri="http://schemas.microsoft.com/office/word/2010/wordprocessingShape">
                    <wps:wsp>
                      <wps:cNvSpPr/>
                      <wps:spPr>
                        <a:xfrm>
                          <a:off x="0" y="0"/>
                          <a:ext cx="5652135"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9" o:spid="_x0000_s1026" o:spt="20" style="position:absolute;left:0pt;margin-left:0pt;margin-top:26.7pt;height:0pt;width:445.05pt;z-index:251661312;mso-width-relative:page;mso-height-relative:page;" filled="f" stroked="t" coordsize="21600,21600" o:gfxdata="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uE+zT1QAA&#10;AAYBAAAPAAAAAAAAAAEAIAAAACIAAABkcnMvZG93bnJldi54bWxQSwECFAAUAAAACACHTuJA7FFp&#10;7ugBAADcAwAADgAAAAAAAAABACAAAAAkAQAAZHJzL2Uyb0RvYy54bWxQSwUGAAAAAAYABgBZAQAA&#10;fgUAAAAA&#10;">
                <v:fill on="f" focussize="0,0"/>
                <v:stroke weight="1.25pt" color="#000000" joinstyle="round"/>
                <v:imagedata o:title=""/>
                <o:lock v:ext="edit" aspectratio="f"/>
              </v:line>
            </w:pict>
          </mc:Fallback>
        </mc:AlternateContent>
      </w:r>
      <w:r>
        <w:rPr>
          <w:rStyle w:val="30"/>
          <w:rFonts w:hint="default" w:ascii="Times New Roman" w:hAnsi="Times New Roman" w:eastAsia="方正仿宋_GBK" w:cs="Times New Roman"/>
          <w:b w:val="0"/>
          <w:i w:val="0"/>
          <w:caps w:val="0"/>
          <w:color w:val="000000"/>
          <w:spacing w:val="0"/>
          <w:w w:val="100"/>
          <w:kern w:val="2"/>
          <w:sz w:val="28"/>
          <w:szCs w:val="28"/>
          <w:lang w:val="en-US" w:eastAsia="zh-CN" w:bidi="ar-SA"/>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8255</wp:posOffset>
                </wp:positionV>
                <wp:extent cx="5652135" cy="0"/>
                <wp:effectExtent l="0" t="0" r="0" b="0"/>
                <wp:wrapNone/>
                <wp:docPr id="3" name="直线 8"/>
                <wp:cNvGraphicFramePr/>
                <a:graphic xmlns:a="http://schemas.openxmlformats.org/drawingml/2006/main">
                  <a:graphicData uri="http://schemas.microsoft.com/office/word/2010/wordprocessingShape">
                    <wps:wsp>
                      <wps:cNvSpPr/>
                      <wps:spPr>
                        <a:xfrm>
                          <a:off x="0" y="0"/>
                          <a:ext cx="5652135"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8" o:spid="_x0000_s1026" o:spt="20" style="position:absolute;left:0pt;margin-left:0pt;margin-top:0.65pt;height:0pt;width:445.05pt;z-index:251662336;mso-width-relative:page;mso-height-relative:page;" filled="f" stroked="t" coordsize="21600,21600" o:gfxdata="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mYlA6tMAAAAE&#10;AQAADwAAAAAAAAABACAAAAAiAAAAZHJzL2Rvd25yZXYueG1sUEsBAhQAFAAAAAgAh07iQJGf0pfo&#10;AQAA3AMAAA4AAAAAAAAAAQAgAAAAIgEAAGRycy9lMm9Eb2MueG1sUEsFBgAAAAAGAAYAWQEAAHwF&#10;AAAAAA==&#10;">
                <v:fill on="f" focussize="0,0"/>
                <v:stroke weight="1.25pt" color="#000000" joinstyle="round"/>
                <v:imagedata o:title=""/>
                <o:lock v:ext="edit" aspectratio="f"/>
              </v:line>
            </w:pict>
          </mc:Fallback>
        </mc:AlternateContent>
      </w:r>
      <w:r>
        <w:rPr>
          <w:rStyle w:val="30"/>
          <w:rFonts w:hint="default" w:ascii="Times New Roman" w:hAnsi="Times New Roman" w:eastAsia="方正仿宋_GBK" w:cs="Times New Roman"/>
          <w:b w:val="0"/>
          <w:i w:val="0"/>
          <w:caps w:val="0"/>
          <w:color w:val="000000"/>
          <w:spacing w:val="0"/>
          <w:w w:val="100"/>
          <w:kern w:val="2"/>
          <w:sz w:val="28"/>
          <w:szCs w:val="28"/>
          <w:lang w:val="en-US" w:eastAsia="zh-CN" w:bidi="ar-SA"/>
        </w:rPr>
        <w:t>重庆市黔江区人民政府办公室                202</w:t>
      </w:r>
      <w:r>
        <w:rPr>
          <w:rStyle w:val="30"/>
          <w:rFonts w:hint="eastAsia" w:ascii="Times New Roman" w:hAnsi="Times New Roman" w:eastAsia="方正仿宋_GBK" w:cs="Times New Roman"/>
          <w:b w:val="0"/>
          <w:i w:val="0"/>
          <w:caps w:val="0"/>
          <w:color w:val="000000"/>
          <w:spacing w:val="0"/>
          <w:w w:val="100"/>
          <w:kern w:val="2"/>
          <w:sz w:val="28"/>
          <w:szCs w:val="28"/>
          <w:lang w:val="en-US" w:eastAsia="zh-CN" w:bidi="ar-SA"/>
        </w:rPr>
        <w:t>5</w:t>
      </w:r>
      <w:r>
        <w:rPr>
          <w:rStyle w:val="30"/>
          <w:rFonts w:hint="default" w:ascii="Times New Roman" w:hAnsi="Times New Roman" w:eastAsia="方正仿宋_GBK" w:cs="Times New Roman"/>
          <w:b w:val="0"/>
          <w:i w:val="0"/>
          <w:caps w:val="0"/>
          <w:color w:val="000000"/>
          <w:spacing w:val="0"/>
          <w:w w:val="100"/>
          <w:kern w:val="2"/>
          <w:sz w:val="28"/>
          <w:szCs w:val="28"/>
          <w:lang w:val="en-US" w:eastAsia="zh-CN" w:bidi="ar-SA"/>
        </w:rPr>
        <w:t>年</w:t>
      </w:r>
      <w:r>
        <w:rPr>
          <w:rStyle w:val="30"/>
          <w:rFonts w:hint="eastAsia" w:ascii="Times New Roman" w:hAnsi="Times New Roman" w:eastAsia="方正仿宋_GBK" w:cs="Times New Roman"/>
          <w:b w:val="0"/>
          <w:i w:val="0"/>
          <w:caps w:val="0"/>
          <w:color w:val="000000"/>
          <w:spacing w:val="0"/>
          <w:w w:val="100"/>
          <w:kern w:val="2"/>
          <w:sz w:val="28"/>
          <w:szCs w:val="28"/>
          <w:lang w:val="en-US" w:eastAsia="zh-CN" w:bidi="ar-SA"/>
        </w:rPr>
        <w:t>5</w:t>
      </w:r>
      <w:r>
        <w:rPr>
          <w:rStyle w:val="30"/>
          <w:rFonts w:hint="default" w:ascii="Times New Roman" w:hAnsi="Times New Roman" w:eastAsia="方正仿宋_GBK" w:cs="Times New Roman"/>
          <w:b w:val="0"/>
          <w:i w:val="0"/>
          <w:caps w:val="0"/>
          <w:color w:val="000000"/>
          <w:spacing w:val="0"/>
          <w:w w:val="100"/>
          <w:kern w:val="2"/>
          <w:sz w:val="28"/>
          <w:szCs w:val="28"/>
          <w:lang w:val="en-US" w:eastAsia="zh-CN" w:bidi="ar-SA"/>
        </w:rPr>
        <w:t>月</w:t>
      </w:r>
      <w:r>
        <w:rPr>
          <w:rStyle w:val="30"/>
          <w:rFonts w:hint="eastAsia" w:ascii="Times New Roman" w:hAnsi="Times New Roman" w:eastAsia="方正仿宋_GBK" w:cs="Times New Roman"/>
          <w:b w:val="0"/>
          <w:i w:val="0"/>
          <w:caps w:val="0"/>
          <w:color w:val="000000"/>
          <w:spacing w:val="0"/>
          <w:w w:val="100"/>
          <w:kern w:val="2"/>
          <w:sz w:val="28"/>
          <w:szCs w:val="28"/>
          <w:lang w:val="en-US" w:eastAsia="zh-CN" w:bidi="ar-SA"/>
        </w:rPr>
        <w:t>16</w:t>
      </w:r>
      <w:r>
        <w:rPr>
          <w:rStyle w:val="30"/>
          <w:rFonts w:hint="default" w:ascii="Times New Roman" w:hAnsi="Times New Roman" w:eastAsia="方正仿宋_GBK" w:cs="Times New Roman"/>
          <w:b w:val="0"/>
          <w:i w:val="0"/>
          <w:caps w:val="0"/>
          <w:color w:val="000000"/>
          <w:spacing w:val="0"/>
          <w:w w:val="100"/>
          <w:kern w:val="2"/>
          <w:sz w:val="28"/>
          <w:szCs w:val="28"/>
          <w:lang w:val="en-US" w:eastAsia="zh-CN" w:bidi="ar-SA"/>
        </w:rPr>
        <w:t>日印发</w:t>
      </w:r>
    </w:p>
    <w:sectPr>
      <w:pgSz w:w="11906" w:h="16838"/>
      <w:pgMar w:top="2098" w:right="1474" w:bottom="1984" w:left="1587" w:header="851" w:footer="1417" w:gutter="0"/>
      <w:pgNumType w:fmt="decimal"/>
      <w:cols w:space="72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20B0504020202030204"/>
    <w:charset w:val="00"/>
    <w:family w:val="swiss"/>
    <w:pitch w:val="default"/>
    <w:sig w:usb0="00000000" w:usb1="00000000" w:usb2="00000000" w:usb3="00000000" w:csb0="00000093"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方正楷体_GBK">
    <w:panose1 w:val="03000509000000000000"/>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648970" cy="228600"/>
              <wp:effectExtent l="0" t="0" r="0" b="0"/>
              <wp:wrapNone/>
              <wp:docPr id="5" name="文本框 2"/>
              <wp:cNvGraphicFramePr/>
              <a:graphic xmlns:a="http://schemas.openxmlformats.org/drawingml/2006/main">
                <a:graphicData uri="http://schemas.microsoft.com/office/word/2010/wordprocessingShape">
                  <wps:wsp>
                    <wps:cNvSpPr txBox="1"/>
                    <wps:spPr>
                      <a:xfrm>
                        <a:off x="0" y="0"/>
                        <a:ext cx="648970" cy="228600"/>
                      </a:xfrm>
                      <a:prstGeom prst="rect">
                        <a:avLst/>
                      </a:prstGeom>
                      <a:noFill/>
                      <a:ln>
                        <a:noFill/>
                      </a:ln>
                    </wps:spPr>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8pt;width:51.1pt;mso-position-horizontal:outside;mso-position-horizontal-relative:margin;mso-wrap-style:none;z-index:251660288;mso-width-relative:page;mso-height-relative:page;" filled="f" stroked="f" coordsize="21600,21600" o:gfxdata="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Dcj6kHRAAAABAEAAA8AAAAAAAAAAQAgAAAAIgAAAGRycy9kb3du&#10;cmV2LnhtbFBLAQIUABQAAAAIAIdO4kBAuV7szQEAAJcDAAAOAAAAAAAAAAEAIAAAACABAABkcnMv&#10;ZTJvRG9jLnhtbFBLBQYAAAAABgAGAFkBAABfBQAAAAA=&#10;">
              <v:fill on="f" focussize="0,0"/>
              <v:stroke on="f"/>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9"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zPGzs3gEAAL4DAAAOAAAAAAAA&#10;AAEAIAAAAB4BAABkcnMvZTJvRG9jLnhtbFBLBQYAAAAABgAGAFkBAABuBQAAAAA=&#10;">
              <v:fill on="f" focussize="0,0"/>
              <v:stroke on="f"/>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0"/>
  <w:bordersDoNotSurroundFooter w:val="0"/>
  <w:documentProtection w:edit="readOnly" w:enforcement="0"/>
  <w:defaultTabStop w:val="420"/>
  <w:hyphenationZone w:val="360"/>
  <w:drawingGridVerticalSpacing w:val="160"/>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23.210.52.50:84/storage/api/storage/storageOffice/downloadT/1220796933119934464?token=eyJhbGciOiJIUzI1NiIsInppcCI6IkdaSVAifQ.H4sIAAAAAAAAAKtWKi5NUrJSMjQ2MTWyMDIwMDaxKkhW0lHKTCxRsjI0NwRKWFgYWegopVYUQAXMjI1AAhn5xUAlSkbGeobGhnpGeiYGSrUA7N8JKU8AAAA.8xp63JHI2B4Qx3V8n4SlB8AsAYAk72PVbnAnHHXh6vY"/>
  </w:docVars>
  <w:rsids>
    <w:rsidRoot w:val="23917523"/>
    <w:rsid w:val="004222DD"/>
    <w:rsid w:val="0046065E"/>
    <w:rsid w:val="004706D5"/>
    <w:rsid w:val="005D4084"/>
    <w:rsid w:val="00860992"/>
    <w:rsid w:val="00A90E71"/>
    <w:rsid w:val="00F22BFD"/>
    <w:rsid w:val="01132DB7"/>
    <w:rsid w:val="01160076"/>
    <w:rsid w:val="01316056"/>
    <w:rsid w:val="013621B1"/>
    <w:rsid w:val="01633187"/>
    <w:rsid w:val="01651AE9"/>
    <w:rsid w:val="01757D40"/>
    <w:rsid w:val="01877D2C"/>
    <w:rsid w:val="01CD31E4"/>
    <w:rsid w:val="01F927FC"/>
    <w:rsid w:val="020C08E6"/>
    <w:rsid w:val="02422274"/>
    <w:rsid w:val="024E1AC0"/>
    <w:rsid w:val="02733291"/>
    <w:rsid w:val="027A0A40"/>
    <w:rsid w:val="0286689A"/>
    <w:rsid w:val="028B70C4"/>
    <w:rsid w:val="0293448A"/>
    <w:rsid w:val="02A04CD7"/>
    <w:rsid w:val="03344418"/>
    <w:rsid w:val="033C3D3F"/>
    <w:rsid w:val="03402D06"/>
    <w:rsid w:val="03450F3D"/>
    <w:rsid w:val="03767367"/>
    <w:rsid w:val="037F56A2"/>
    <w:rsid w:val="038B51D5"/>
    <w:rsid w:val="03972D82"/>
    <w:rsid w:val="03AA36B9"/>
    <w:rsid w:val="03AF2E5F"/>
    <w:rsid w:val="03BF059B"/>
    <w:rsid w:val="03D46D4A"/>
    <w:rsid w:val="03D52151"/>
    <w:rsid w:val="03D544C3"/>
    <w:rsid w:val="03E6299E"/>
    <w:rsid w:val="03F53C25"/>
    <w:rsid w:val="04013CEB"/>
    <w:rsid w:val="040C53F6"/>
    <w:rsid w:val="04261BC3"/>
    <w:rsid w:val="04385DF7"/>
    <w:rsid w:val="04596B20"/>
    <w:rsid w:val="045E4C00"/>
    <w:rsid w:val="04A079FE"/>
    <w:rsid w:val="04BA3764"/>
    <w:rsid w:val="04BB76D7"/>
    <w:rsid w:val="04EB0B74"/>
    <w:rsid w:val="051714D9"/>
    <w:rsid w:val="0539739F"/>
    <w:rsid w:val="05601035"/>
    <w:rsid w:val="05875FA8"/>
    <w:rsid w:val="058C173A"/>
    <w:rsid w:val="05B80CFB"/>
    <w:rsid w:val="05BE2710"/>
    <w:rsid w:val="05CB7F5B"/>
    <w:rsid w:val="06181B7F"/>
    <w:rsid w:val="062916C5"/>
    <w:rsid w:val="0657706E"/>
    <w:rsid w:val="06752B22"/>
    <w:rsid w:val="06C17C87"/>
    <w:rsid w:val="06C642C4"/>
    <w:rsid w:val="06D523B6"/>
    <w:rsid w:val="06E76FAE"/>
    <w:rsid w:val="07123864"/>
    <w:rsid w:val="07605231"/>
    <w:rsid w:val="076B25E4"/>
    <w:rsid w:val="07E976D6"/>
    <w:rsid w:val="0807580E"/>
    <w:rsid w:val="083A56DD"/>
    <w:rsid w:val="084B19AE"/>
    <w:rsid w:val="089569C4"/>
    <w:rsid w:val="08A7512E"/>
    <w:rsid w:val="08D04B44"/>
    <w:rsid w:val="08F13BB6"/>
    <w:rsid w:val="090311E3"/>
    <w:rsid w:val="090C5A40"/>
    <w:rsid w:val="09117FE4"/>
    <w:rsid w:val="092C32F1"/>
    <w:rsid w:val="093A22C5"/>
    <w:rsid w:val="095827F9"/>
    <w:rsid w:val="09AE3B3A"/>
    <w:rsid w:val="09C361D1"/>
    <w:rsid w:val="09F700C9"/>
    <w:rsid w:val="09FF2621"/>
    <w:rsid w:val="09FF4B64"/>
    <w:rsid w:val="0A611370"/>
    <w:rsid w:val="0A745359"/>
    <w:rsid w:val="0A7B37AD"/>
    <w:rsid w:val="0A932A0B"/>
    <w:rsid w:val="0AC279EB"/>
    <w:rsid w:val="0AC46304"/>
    <w:rsid w:val="0AEE437C"/>
    <w:rsid w:val="0B102690"/>
    <w:rsid w:val="0B1127FF"/>
    <w:rsid w:val="0BCA21DB"/>
    <w:rsid w:val="0BDF3CD4"/>
    <w:rsid w:val="0BF76F61"/>
    <w:rsid w:val="0BF77B2C"/>
    <w:rsid w:val="0C012F3E"/>
    <w:rsid w:val="0C186289"/>
    <w:rsid w:val="0C1A18B3"/>
    <w:rsid w:val="0C2867CF"/>
    <w:rsid w:val="0C2A4402"/>
    <w:rsid w:val="0C3050D7"/>
    <w:rsid w:val="0C4D7FCD"/>
    <w:rsid w:val="0CC416A5"/>
    <w:rsid w:val="0CC72005"/>
    <w:rsid w:val="0CCB5371"/>
    <w:rsid w:val="0CDC5A75"/>
    <w:rsid w:val="0D21480F"/>
    <w:rsid w:val="0D365D0D"/>
    <w:rsid w:val="0D4D4584"/>
    <w:rsid w:val="0D5E4C34"/>
    <w:rsid w:val="0D60416E"/>
    <w:rsid w:val="0D807563"/>
    <w:rsid w:val="0D8B2ADA"/>
    <w:rsid w:val="0D914EA6"/>
    <w:rsid w:val="0DA27EAA"/>
    <w:rsid w:val="0DA9166F"/>
    <w:rsid w:val="0DE45CF6"/>
    <w:rsid w:val="0E467F78"/>
    <w:rsid w:val="0E506742"/>
    <w:rsid w:val="0E6944C2"/>
    <w:rsid w:val="0E763905"/>
    <w:rsid w:val="0E7A4233"/>
    <w:rsid w:val="0E8B4567"/>
    <w:rsid w:val="0E9B399D"/>
    <w:rsid w:val="0EA15B20"/>
    <w:rsid w:val="0EA344C9"/>
    <w:rsid w:val="0EBF3D47"/>
    <w:rsid w:val="0EC64E67"/>
    <w:rsid w:val="0EE412EF"/>
    <w:rsid w:val="0EEE27C9"/>
    <w:rsid w:val="0F2912C0"/>
    <w:rsid w:val="0F583960"/>
    <w:rsid w:val="0F5F244F"/>
    <w:rsid w:val="0F633AC8"/>
    <w:rsid w:val="0FA9432F"/>
    <w:rsid w:val="0FB54877"/>
    <w:rsid w:val="10100A4A"/>
    <w:rsid w:val="107D4C2D"/>
    <w:rsid w:val="10833018"/>
    <w:rsid w:val="1090180A"/>
    <w:rsid w:val="10E540DC"/>
    <w:rsid w:val="10FE7E3F"/>
    <w:rsid w:val="111E679D"/>
    <w:rsid w:val="1137777B"/>
    <w:rsid w:val="113B754C"/>
    <w:rsid w:val="113C41C3"/>
    <w:rsid w:val="113C4363"/>
    <w:rsid w:val="116A0613"/>
    <w:rsid w:val="1181693F"/>
    <w:rsid w:val="119C5B34"/>
    <w:rsid w:val="11F66713"/>
    <w:rsid w:val="11FF4AE7"/>
    <w:rsid w:val="120E270C"/>
    <w:rsid w:val="12180B4C"/>
    <w:rsid w:val="126004CB"/>
    <w:rsid w:val="12A73824"/>
    <w:rsid w:val="12A76BB5"/>
    <w:rsid w:val="12C73542"/>
    <w:rsid w:val="12D10EF0"/>
    <w:rsid w:val="12DD6BB8"/>
    <w:rsid w:val="12E26F1D"/>
    <w:rsid w:val="12F95313"/>
    <w:rsid w:val="130A087C"/>
    <w:rsid w:val="131E5199"/>
    <w:rsid w:val="132547E3"/>
    <w:rsid w:val="13342D7D"/>
    <w:rsid w:val="135A42A4"/>
    <w:rsid w:val="136A7F3E"/>
    <w:rsid w:val="138D412E"/>
    <w:rsid w:val="139575B8"/>
    <w:rsid w:val="13960728"/>
    <w:rsid w:val="139B786E"/>
    <w:rsid w:val="13A54335"/>
    <w:rsid w:val="13C515D9"/>
    <w:rsid w:val="14083759"/>
    <w:rsid w:val="14246C6A"/>
    <w:rsid w:val="144E0E8B"/>
    <w:rsid w:val="148F1AF9"/>
    <w:rsid w:val="14B7676A"/>
    <w:rsid w:val="15187703"/>
    <w:rsid w:val="15250D6C"/>
    <w:rsid w:val="152B14BC"/>
    <w:rsid w:val="154A585B"/>
    <w:rsid w:val="154F72C6"/>
    <w:rsid w:val="157D7D37"/>
    <w:rsid w:val="157F6586"/>
    <w:rsid w:val="15A4209D"/>
    <w:rsid w:val="16016C7C"/>
    <w:rsid w:val="161739A4"/>
    <w:rsid w:val="162D776D"/>
    <w:rsid w:val="16370A07"/>
    <w:rsid w:val="16615D7C"/>
    <w:rsid w:val="16762F67"/>
    <w:rsid w:val="16B370C7"/>
    <w:rsid w:val="16B86E59"/>
    <w:rsid w:val="16D22E3A"/>
    <w:rsid w:val="16D766A8"/>
    <w:rsid w:val="16E521EC"/>
    <w:rsid w:val="170553F5"/>
    <w:rsid w:val="172069FF"/>
    <w:rsid w:val="17E46C0D"/>
    <w:rsid w:val="180F0386"/>
    <w:rsid w:val="18141F49"/>
    <w:rsid w:val="183F543F"/>
    <w:rsid w:val="18BE113E"/>
    <w:rsid w:val="18EC726F"/>
    <w:rsid w:val="19004F32"/>
    <w:rsid w:val="19064288"/>
    <w:rsid w:val="190D2867"/>
    <w:rsid w:val="191507A4"/>
    <w:rsid w:val="194315C0"/>
    <w:rsid w:val="194801F5"/>
    <w:rsid w:val="19573571"/>
    <w:rsid w:val="19780EEF"/>
    <w:rsid w:val="19BE691D"/>
    <w:rsid w:val="1A1A3784"/>
    <w:rsid w:val="1A2F1BE4"/>
    <w:rsid w:val="1A362F20"/>
    <w:rsid w:val="1A7E41D2"/>
    <w:rsid w:val="1AC76F68"/>
    <w:rsid w:val="1ACA7868"/>
    <w:rsid w:val="1ADC3708"/>
    <w:rsid w:val="1AEE5FCE"/>
    <w:rsid w:val="1B597680"/>
    <w:rsid w:val="1B5F5C27"/>
    <w:rsid w:val="1B927487"/>
    <w:rsid w:val="1B961823"/>
    <w:rsid w:val="1B9D53B6"/>
    <w:rsid w:val="1BCF070E"/>
    <w:rsid w:val="1BF8041C"/>
    <w:rsid w:val="1C040E40"/>
    <w:rsid w:val="1C182F68"/>
    <w:rsid w:val="1C4A029C"/>
    <w:rsid w:val="1CAA00A7"/>
    <w:rsid w:val="1CBC0A95"/>
    <w:rsid w:val="1CBD28A0"/>
    <w:rsid w:val="1CF74621"/>
    <w:rsid w:val="1D0F5570"/>
    <w:rsid w:val="1D0F7CAD"/>
    <w:rsid w:val="1D1D781A"/>
    <w:rsid w:val="1D405F12"/>
    <w:rsid w:val="1D5B1ED7"/>
    <w:rsid w:val="1D601638"/>
    <w:rsid w:val="1D9F4C18"/>
    <w:rsid w:val="1DAD2EC7"/>
    <w:rsid w:val="1DC20FFF"/>
    <w:rsid w:val="1DFA58F9"/>
    <w:rsid w:val="1E0C291B"/>
    <w:rsid w:val="1E1F209F"/>
    <w:rsid w:val="1E221FBF"/>
    <w:rsid w:val="1E5D6A1D"/>
    <w:rsid w:val="1E925A06"/>
    <w:rsid w:val="1E9D5138"/>
    <w:rsid w:val="1EA54B0A"/>
    <w:rsid w:val="1EAC1E0A"/>
    <w:rsid w:val="1EBB5FDF"/>
    <w:rsid w:val="1EBF112A"/>
    <w:rsid w:val="1ED52474"/>
    <w:rsid w:val="1EE04857"/>
    <w:rsid w:val="1F023FA1"/>
    <w:rsid w:val="1F193B3A"/>
    <w:rsid w:val="1F271CF0"/>
    <w:rsid w:val="1F3C374A"/>
    <w:rsid w:val="1F3D41B1"/>
    <w:rsid w:val="1F483F6A"/>
    <w:rsid w:val="1F5C73B7"/>
    <w:rsid w:val="1F71643F"/>
    <w:rsid w:val="1F8814D4"/>
    <w:rsid w:val="1F895FED"/>
    <w:rsid w:val="1F8E7E07"/>
    <w:rsid w:val="1FD8352A"/>
    <w:rsid w:val="200E2048"/>
    <w:rsid w:val="200F7FA7"/>
    <w:rsid w:val="20486C96"/>
    <w:rsid w:val="205932E5"/>
    <w:rsid w:val="208663F1"/>
    <w:rsid w:val="20C654C2"/>
    <w:rsid w:val="20DC740D"/>
    <w:rsid w:val="20E9699F"/>
    <w:rsid w:val="20F17514"/>
    <w:rsid w:val="20FA7206"/>
    <w:rsid w:val="210063FC"/>
    <w:rsid w:val="212D786D"/>
    <w:rsid w:val="216834BF"/>
    <w:rsid w:val="2175073E"/>
    <w:rsid w:val="218A223A"/>
    <w:rsid w:val="21C81FB6"/>
    <w:rsid w:val="21D37F55"/>
    <w:rsid w:val="22295B79"/>
    <w:rsid w:val="22485A90"/>
    <w:rsid w:val="22624F29"/>
    <w:rsid w:val="22657920"/>
    <w:rsid w:val="22761C7C"/>
    <w:rsid w:val="227D54A3"/>
    <w:rsid w:val="231D01C4"/>
    <w:rsid w:val="232C6D85"/>
    <w:rsid w:val="2354740D"/>
    <w:rsid w:val="23852907"/>
    <w:rsid w:val="23883167"/>
    <w:rsid w:val="238C176A"/>
    <w:rsid w:val="23917523"/>
    <w:rsid w:val="23A63C81"/>
    <w:rsid w:val="23C85A6C"/>
    <w:rsid w:val="240E2799"/>
    <w:rsid w:val="244A4DA3"/>
    <w:rsid w:val="246B4301"/>
    <w:rsid w:val="24A60BFD"/>
    <w:rsid w:val="25036711"/>
    <w:rsid w:val="25113559"/>
    <w:rsid w:val="2529504E"/>
    <w:rsid w:val="255130DD"/>
    <w:rsid w:val="255C099E"/>
    <w:rsid w:val="256B41B4"/>
    <w:rsid w:val="256C0BB8"/>
    <w:rsid w:val="257124A7"/>
    <w:rsid w:val="2598356E"/>
    <w:rsid w:val="259E219A"/>
    <w:rsid w:val="25AC1416"/>
    <w:rsid w:val="25DB19C3"/>
    <w:rsid w:val="25E51723"/>
    <w:rsid w:val="25EA1D20"/>
    <w:rsid w:val="25F008FB"/>
    <w:rsid w:val="260602C2"/>
    <w:rsid w:val="26073F15"/>
    <w:rsid w:val="26283208"/>
    <w:rsid w:val="262C15D9"/>
    <w:rsid w:val="264351FA"/>
    <w:rsid w:val="26780F85"/>
    <w:rsid w:val="26891510"/>
    <w:rsid w:val="26B14DC5"/>
    <w:rsid w:val="26B715FB"/>
    <w:rsid w:val="26DD1848"/>
    <w:rsid w:val="26E83E0C"/>
    <w:rsid w:val="27022159"/>
    <w:rsid w:val="270239C0"/>
    <w:rsid w:val="270D4EAC"/>
    <w:rsid w:val="271D3218"/>
    <w:rsid w:val="272C5D86"/>
    <w:rsid w:val="272F5583"/>
    <w:rsid w:val="273241E3"/>
    <w:rsid w:val="274C4CF0"/>
    <w:rsid w:val="27505405"/>
    <w:rsid w:val="27A556A0"/>
    <w:rsid w:val="27BD387C"/>
    <w:rsid w:val="27CD7266"/>
    <w:rsid w:val="27EF12E3"/>
    <w:rsid w:val="281F5281"/>
    <w:rsid w:val="28210C0C"/>
    <w:rsid w:val="28234549"/>
    <w:rsid w:val="2848216D"/>
    <w:rsid w:val="284A6680"/>
    <w:rsid w:val="28550270"/>
    <w:rsid w:val="288F4D03"/>
    <w:rsid w:val="289B7814"/>
    <w:rsid w:val="28AB0A35"/>
    <w:rsid w:val="28BC0111"/>
    <w:rsid w:val="28D34F0E"/>
    <w:rsid w:val="28D50868"/>
    <w:rsid w:val="28ED62D6"/>
    <w:rsid w:val="29553B43"/>
    <w:rsid w:val="29596F82"/>
    <w:rsid w:val="29881DB3"/>
    <w:rsid w:val="29DA4723"/>
    <w:rsid w:val="29EB78BC"/>
    <w:rsid w:val="29FB729A"/>
    <w:rsid w:val="2A242AF5"/>
    <w:rsid w:val="2A286E17"/>
    <w:rsid w:val="2A2D0F42"/>
    <w:rsid w:val="2A2F0DE5"/>
    <w:rsid w:val="2A377624"/>
    <w:rsid w:val="2A3C00AE"/>
    <w:rsid w:val="2A3E3220"/>
    <w:rsid w:val="2A427F93"/>
    <w:rsid w:val="2A6C5D2A"/>
    <w:rsid w:val="2A815B45"/>
    <w:rsid w:val="2AB226CF"/>
    <w:rsid w:val="2AE808EE"/>
    <w:rsid w:val="2AF87A90"/>
    <w:rsid w:val="2B3C3376"/>
    <w:rsid w:val="2B547794"/>
    <w:rsid w:val="2B595EA3"/>
    <w:rsid w:val="2B6336BF"/>
    <w:rsid w:val="2B6726B0"/>
    <w:rsid w:val="2B700811"/>
    <w:rsid w:val="2B834D5F"/>
    <w:rsid w:val="2B873F26"/>
    <w:rsid w:val="2BA07E6C"/>
    <w:rsid w:val="2BA5338D"/>
    <w:rsid w:val="2BCF705E"/>
    <w:rsid w:val="2BF30235"/>
    <w:rsid w:val="2BF47419"/>
    <w:rsid w:val="2C061238"/>
    <w:rsid w:val="2C241D36"/>
    <w:rsid w:val="2C7675FB"/>
    <w:rsid w:val="2C7F6445"/>
    <w:rsid w:val="2C8A1046"/>
    <w:rsid w:val="2CAA2EAC"/>
    <w:rsid w:val="2CB950BD"/>
    <w:rsid w:val="2CBF7EDC"/>
    <w:rsid w:val="2CC90E61"/>
    <w:rsid w:val="2CD34C72"/>
    <w:rsid w:val="2CFC72DD"/>
    <w:rsid w:val="2D1840B7"/>
    <w:rsid w:val="2D296D85"/>
    <w:rsid w:val="2D421802"/>
    <w:rsid w:val="2D487B33"/>
    <w:rsid w:val="2D5C7B7A"/>
    <w:rsid w:val="2D727104"/>
    <w:rsid w:val="2DC11EC6"/>
    <w:rsid w:val="2E164BAC"/>
    <w:rsid w:val="2E165587"/>
    <w:rsid w:val="2E176E06"/>
    <w:rsid w:val="2E5C4A3A"/>
    <w:rsid w:val="2E603B4C"/>
    <w:rsid w:val="2E7472A4"/>
    <w:rsid w:val="2E84327C"/>
    <w:rsid w:val="2E8C08E5"/>
    <w:rsid w:val="2EB35CEB"/>
    <w:rsid w:val="2ECC1ACB"/>
    <w:rsid w:val="2ED642E6"/>
    <w:rsid w:val="2F013E9D"/>
    <w:rsid w:val="2F243E69"/>
    <w:rsid w:val="2F77709A"/>
    <w:rsid w:val="2F863AAF"/>
    <w:rsid w:val="2FA363AC"/>
    <w:rsid w:val="2FD05440"/>
    <w:rsid w:val="2FE57DBD"/>
    <w:rsid w:val="30003057"/>
    <w:rsid w:val="303D7A39"/>
    <w:rsid w:val="30420DD2"/>
    <w:rsid w:val="304D4231"/>
    <w:rsid w:val="30616BB6"/>
    <w:rsid w:val="306E0A8C"/>
    <w:rsid w:val="30AF6B67"/>
    <w:rsid w:val="30B44CB7"/>
    <w:rsid w:val="30C847B9"/>
    <w:rsid w:val="30F30B2C"/>
    <w:rsid w:val="31207CFA"/>
    <w:rsid w:val="314B1853"/>
    <w:rsid w:val="314E06C3"/>
    <w:rsid w:val="31752245"/>
    <w:rsid w:val="31765F2B"/>
    <w:rsid w:val="31927E22"/>
    <w:rsid w:val="31990A35"/>
    <w:rsid w:val="31BF33E0"/>
    <w:rsid w:val="31C06EE0"/>
    <w:rsid w:val="32806291"/>
    <w:rsid w:val="32895A8C"/>
    <w:rsid w:val="329A2B60"/>
    <w:rsid w:val="335565EF"/>
    <w:rsid w:val="33632372"/>
    <w:rsid w:val="33782B7C"/>
    <w:rsid w:val="33BB5207"/>
    <w:rsid w:val="33CD2816"/>
    <w:rsid w:val="33E62733"/>
    <w:rsid w:val="340C21E6"/>
    <w:rsid w:val="343B33F9"/>
    <w:rsid w:val="34573CD4"/>
    <w:rsid w:val="346376A7"/>
    <w:rsid w:val="346A671F"/>
    <w:rsid w:val="347C2788"/>
    <w:rsid w:val="348457E6"/>
    <w:rsid w:val="3490591B"/>
    <w:rsid w:val="34A34EAC"/>
    <w:rsid w:val="34BD68B5"/>
    <w:rsid w:val="34CC1CC7"/>
    <w:rsid w:val="34E765DE"/>
    <w:rsid w:val="34EF5F1A"/>
    <w:rsid w:val="352517B1"/>
    <w:rsid w:val="35343E56"/>
    <w:rsid w:val="353A0480"/>
    <w:rsid w:val="354C1717"/>
    <w:rsid w:val="35697F67"/>
    <w:rsid w:val="35BE1358"/>
    <w:rsid w:val="35F846B9"/>
    <w:rsid w:val="3624431F"/>
    <w:rsid w:val="3633339D"/>
    <w:rsid w:val="368E3BDD"/>
    <w:rsid w:val="36C51123"/>
    <w:rsid w:val="36C8210C"/>
    <w:rsid w:val="36D410D0"/>
    <w:rsid w:val="36D54C92"/>
    <w:rsid w:val="36EF1CA1"/>
    <w:rsid w:val="370B424E"/>
    <w:rsid w:val="372228E2"/>
    <w:rsid w:val="372775EA"/>
    <w:rsid w:val="372E1C0E"/>
    <w:rsid w:val="37846166"/>
    <w:rsid w:val="37C0191F"/>
    <w:rsid w:val="37CE648F"/>
    <w:rsid w:val="37E04542"/>
    <w:rsid w:val="37E828A0"/>
    <w:rsid w:val="37FB35E8"/>
    <w:rsid w:val="38053DD6"/>
    <w:rsid w:val="38253F83"/>
    <w:rsid w:val="382F1800"/>
    <w:rsid w:val="38380DAA"/>
    <w:rsid w:val="38492D24"/>
    <w:rsid w:val="384C1285"/>
    <w:rsid w:val="38632414"/>
    <w:rsid w:val="38A1719A"/>
    <w:rsid w:val="38D600E9"/>
    <w:rsid w:val="38F76737"/>
    <w:rsid w:val="391800C6"/>
    <w:rsid w:val="39245260"/>
    <w:rsid w:val="393C2767"/>
    <w:rsid w:val="39463C15"/>
    <w:rsid w:val="39855B7F"/>
    <w:rsid w:val="39CE47DE"/>
    <w:rsid w:val="3A092DEB"/>
    <w:rsid w:val="3A190D7B"/>
    <w:rsid w:val="3A27434B"/>
    <w:rsid w:val="3A290480"/>
    <w:rsid w:val="3A5C5B61"/>
    <w:rsid w:val="3A662C10"/>
    <w:rsid w:val="3A675C2D"/>
    <w:rsid w:val="3A712D86"/>
    <w:rsid w:val="3A7E2680"/>
    <w:rsid w:val="3A8F416C"/>
    <w:rsid w:val="3A9B71A2"/>
    <w:rsid w:val="3AA42C7A"/>
    <w:rsid w:val="3AA61C3A"/>
    <w:rsid w:val="3AAE4EED"/>
    <w:rsid w:val="3AAF4421"/>
    <w:rsid w:val="3ABE513B"/>
    <w:rsid w:val="3AEC7675"/>
    <w:rsid w:val="3AFD6D6E"/>
    <w:rsid w:val="3B0B04C3"/>
    <w:rsid w:val="3B1E5CA1"/>
    <w:rsid w:val="3B2D02E7"/>
    <w:rsid w:val="3B800480"/>
    <w:rsid w:val="3B817FC4"/>
    <w:rsid w:val="3BA73310"/>
    <w:rsid w:val="3BB60678"/>
    <w:rsid w:val="3BB72F31"/>
    <w:rsid w:val="3BC36752"/>
    <w:rsid w:val="3BEF7DC6"/>
    <w:rsid w:val="3BF47B34"/>
    <w:rsid w:val="3BF951D3"/>
    <w:rsid w:val="3C067A6A"/>
    <w:rsid w:val="3C0B158B"/>
    <w:rsid w:val="3C1C14AA"/>
    <w:rsid w:val="3C4450D2"/>
    <w:rsid w:val="3C632006"/>
    <w:rsid w:val="3C6B42BC"/>
    <w:rsid w:val="3C732B7A"/>
    <w:rsid w:val="3C7919AA"/>
    <w:rsid w:val="3C806951"/>
    <w:rsid w:val="3C9C7A3C"/>
    <w:rsid w:val="3CBE324A"/>
    <w:rsid w:val="3CC62839"/>
    <w:rsid w:val="3CD64388"/>
    <w:rsid w:val="3CF96022"/>
    <w:rsid w:val="3D2C106C"/>
    <w:rsid w:val="3D440D92"/>
    <w:rsid w:val="3D6A0C1F"/>
    <w:rsid w:val="3D8FBC8F"/>
    <w:rsid w:val="3DB9618A"/>
    <w:rsid w:val="3DC10B72"/>
    <w:rsid w:val="3DCE7927"/>
    <w:rsid w:val="3DD25209"/>
    <w:rsid w:val="3DE832E6"/>
    <w:rsid w:val="3DEC0DDF"/>
    <w:rsid w:val="3E0A5F5F"/>
    <w:rsid w:val="3E1244B7"/>
    <w:rsid w:val="3E2E3121"/>
    <w:rsid w:val="3E417EA2"/>
    <w:rsid w:val="3E5240A3"/>
    <w:rsid w:val="3E624E19"/>
    <w:rsid w:val="3E8C1617"/>
    <w:rsid w:val="3E967AB5"/>
    <w:rsid w:val="3EBE6235"/>
    <w:rsid w:val="3EC44610"/>
    <w:rsid w:val="3ECB3BDD"/>
    <w:rsid w:val="3EDE6736"/>
    <w:rsid w:val="3F0F4618"/>
    <w:rsid w:val="3F15224E"/>
    <w:rsid w:val="3F1E05CB"/>
    <w:rsid w:val="3F1F1B7C"/>
    <w:rsid w:val="3F70608B"/>
    <w:rsid w:val="3FD523F6"/>
    <w:rsid w:val="3FE1058A"/>
    <w:rsid w:val="3FF00EF8"/>
    <w:rsid w:val="400E29E1"/>
    <w:rsid w:val="4087233B"/>
    <w:rsid w:val="40A913CF"/>
    <w:rsid w:val="40E77174"/>
    <w:rsid w:val="410634BE"/>
    <w:rsid w:val="4134653A"/>
    <w:rsid w:val="4181131A"/>
    <w:rsid w:val="41A0083F"/>
    <w:rsid w:val="41E641E5"/>
    <w:rsid w:val="41EC4EEF"/>
    <w:rsid w:val="41ED20BC"/>
    <w:rsid w:val="41EF73B2"/>
    <w:rsid w:val="41F83AE7"/>
    <w:rsid w:val="42170BCE"/>
    <w:rsid w:val="424526CD"/>
    <w:rsid w:val="424D363D"/>
    <w:rsid w:val="426B36B6"/>
    <w:rsid w:val="42B8386A"/>
    <w:rsid w:val="42BB69D7"/>
    <w:rsid w:val="42E24B75"/>
    <w:rsid w:val="43077337"/>
    <w:rsid w:val="430777D2"/>
    <w:rsid w:val="431951FA"/>
    <w:rsid w:val="43311E0C"/>
    <w:rsid w:val="43373F84"/>
    <w:rsid w:val="43656FB6"/>
    <w:rsid w:val="437F4727"/>
    <w:rsid w:val="43A81730"/>
    <w:rsid w:val="43D7064D"/>
    <w:rsid w:val="43F1085E"/>
    <w:rsid w:val="44192B1F"/>
    <w:rsid w:val="44290337"/>
    <w:rsid w:val="444327EE"/>
    <w:rsid w:val="446066D0"/>
    <w:rsid w:val="44841ECB"/>
    <w:rsid w:val="44A94794"/>
    <w:rsid w:val="44BF658A"/>
    <w:rsid w:val="44C673CF"/>
    <w:rsid w:val="44D450BB"/>
    <w:rsid w:val="45151BAD"/>
    <w:rsid w:val="458D73D7"/>
    <w:rsid w:val="45987863"/>
    <w:rsid w:val="45A46700"/>
    <w:rsid w:val="45A82674"/>
    <w:rsid w:val="45C02F47"/>
    <w:rsid w:val="46230CA1"/>
    <w:rsid w:val="46462729"/>
    <w:rsid w:val="46977456"/>
    <w:rsid w:val="46995465"/>
    <w:rsid w:val="46CC3936"/>
    <w:rsid w:val="47020CDD"/>
    <w:rsid w:val="47933567"/>
    <w:rsid w:val="47A4064A"/>
    <w:rsid w:val="47B83BED"/>
    <w:rsid w:val="47F54984"/>
    <w:rsid w:val="4805482C"/>
    <w:rsid w:val="480662A8"/>
    <w:rsid w:val="481040D7"/>
    <w:rsid w:val="483C3C3E"/>
    <w:rsid w:val="486C5897"/>
    <w:rsid w:val="487828D4"/>
    <w:rsid w:val="48A6585D"/>
    <w:rsid w:val="48FB64EF"/>
    <w:rsid w:val="48FF54F2"/>
    <w:rsid w:val="491728BF"/>
    <w:rsid w:val="49177857"/>
    <w:rsid w:val="49262AEA"/>
    <w:rsid w:val="492E0D83"/>
    <w:rsid w:val="493B71B2"/>
    <w:rsid w:val="49651223"/>
    <w:rsid w:val="498F28C9"/>
    <w:rsid w:val="49D2087F"/>
    <w:rsid w:val="49E3411F"/>
    <w:rsid w:val="4A382C7D"/>
    <w:rsid w:val="4A4D0461"/>
    <w:rsid w:val="4A504F02"/>
    <w:rsid w:val="4A6466EE"/>
    <w:rsid w:val="4AB02041"/>
    <w:rsid w:val="4ABB22DD"/>
    <w:rsid w:val="4AEF6B94"/>
    <w:rsid w:val="4AFA5FB4"/>
    <w:rsid w:val="4B0B1E83"/>
    <w:rsid w:val="4B1A1ADF"/>
    <w:rsid w:val="4B25429C"/>
    <w:rsid w:val="4B2D7340"/>
    <w:rsid w:val="4B414DC4"/>
    <w:rsid w:val="4B4234E9"/>
    <w:rsid w:val="4B455C55"/>
    <w:rsid w:val="4B76156D"/>
    <w:rsid w:val="4BB62198"/>
    <w:rsid w:val="4BBA34A0"/>
    <w:rsid w:val="4BC012C0"/>
    <w:rsid w:val="4BC307DE"/>
    <w:rsid w:val="4C3D7924"/>
    <w:rsid w:val="4C565244"/>
    <w:rsid w:val="4C5F74C0"/>
    <w:rsid w:val="4C6027B5"/>
    <w:rsid w:val="4CC10ABC"/>
    <w:rsid w:val="4CC53856"/>
    <w:rsid w:val="4CE77F0B"/>
    <w:rsid w:val="4D061C7E"/>
    <w:rsid w:val="4D122E18"/>
    <w:rsid w:val="4D166D92"/>
    <w:rsid w:val="4D4A1329"/>
    <w:rsid w:val="4D853932"/>
    <w:rsid w:val="4D8C0D67"/>
    <w:rsid w:val="4D8D2630"/>
    <w:rsid w:val="4D9926AF"/>
    <w:rsid w:val="4D9E660B"/>
    <w:rsid w:val="4DB76506"/>
    <w:rsid w:val="4DC80641"/>
    <w:rsid w:val="4DD4506E"/>
    <w:rsid w:val="4DE82E3C"/>
    <w:rsid w:val="4E013A22"/>
    <w:rsid w:val="4E106ECA"/>
    <w:rsid w:val="4E213DED"/>
    <w:rsid w:val="4E314154"/>
    <w:rsid w:val="4E56652B"/>
    <w:rsid w:val="4E580D88"/>
    <w:rsid w:val="4E6C52DE"/>
    <w:rsid w:val="4E716BF4"/>
    <w:rsid w:val="4EBF2737"/>
    <w:rsid w:val="4F341E90"/>
    <w:rsid w:val="4F5215CA"/>
    <w:rsid w:val="4F7D003F"/>
    <w:rsid w:val="4FBB66B5"/>
    <w:rsid w:val="4FF54B5E"/>
    <w:rsid w:val="4FFC70F5"/>
    <w:rsid w:val="4FFD363D"/>
    <w:rsid w:val="500243D3"/>
    <w:rsid w:val="500D6527"/>
    <w:rsid w:val="501B3DAA"/>
    <w:rsid w:val="50202660"/>
    <w:rsid w:val="505A4EEA"/>
    <w:rsid w:val="507124AA"/>
    <w:rsid w:val="507F6C56"/>
    <w:rsid w:val="508C6997"/>
    <w:rsid w:val="509C5BE9"/>
    <w:rsid w:val="50A96380"/>
    <w:rsid w:val="50EC5C6E"/>
    <w:rsid w:val="512B4884"/>
    <w:rsid w:val="51362E87"/>
    <w:rsid w:val="513C2907"/>
    <w:rsid w:val="51AE64B2"/>
    <w:rsid w:val="52307DB3"/>
    <w:rsid w:val="52597D24"/>
    <w:rsid w:val="526042EB"/>
    <w:rsid w:val="52712DB3"/>
    <w:rsid w:val="52D526CA"/>
    <w:rsid w:val="52DF7792"/>
    <w:rsid w:val="533D4800"/>
    <w:rsid w:val="535F5ADD"/>
    <w:rsid w:val="53813A9A"/>
    <w:rsid w:val="538F09E2"/>
    <w:rsid w:val="53BA6093"/>
    <w:rsid w:val="54154EC8"/>
    <w:rsid w:val="548A2B6E"/>
    <w:rsid w:val="549A5FC7"/>
    <w:rsid w:val="549C14BA"/>
    <w:rsid w:val="54D42752"/>
    <w:rsid w:val="54DD397C"/>
    <w:rsid w:val="54F57ED2"/>
    <w:rsid w:val="552C1AAE"/>
    <w:rsid w:val="55575D43"/>
    <w:rsid w:val="55611FFB"/>
    <w:rsid w:val="559808E5"/>
    <w:rsid w:val="55A97380"/>
    <w:rsid w:val="55E8704B"/>
    <w:rsid w:val="560D467A"/>
    <w:rsid w:val="56366397"/>
    <w:rsid w:val="56662FC9"/>
    <w:rsid w:val="566B75EC"/>
    <w:rsid w:val="56966E60"/>
    <w:rsid w:val="56DA2616"/>
    <w:rsid w:val="570540A4"/>
    <w:rsid w:val="57275647"/>
    <w:rsid w:val="576100B7"/>
    <w:rsid w:val="57B6495B"/>
    <w:rsid w:val="57C65387"/>
    <w:rsid w:val="57DD7D3A"/>
    <w:rsid w:val="57E64196"/>
    <w:rsid w:val="57E975B6"/>
    <w:rsid w:val="57EB1210"/>
    <w:rsid w:val="57F03765"/>
    <w:rsid w:val="57FD7D97"/>
    <w:rsid w:val="58005BB8"/>
    <w:rsid w:val="581F45D5"/>
    <w:rsid w:val="583E5A85"/>
    <w:rsid w:val="585E0E57"/>
    <w:rsid w:val="585E7092"/>
    <w:rsid w:val="58691195"/>
    <w:rsid w:val="586D51E3"/>
    <w:rsid w:val="58836BD0"/>
    <w:rsid w:val="58AE2442"/>
    <w:rsid w:val="58B91B0C"/>
    <w:rsid w:val="58C432B9"/>
    <w:rsid w:val="58EB4623"/>
    <w:rsid w:val="58FF7D51"/>
    <w:rsid w:val="59077A9D"/>
    <w:rsid w:val="590F110F"/>
    <w:rsid w:val="59A64F16"/>
    <w:rsid w:val="59B66AD0"/>
    <w:rsid w:val="59BA4D64"/>
    <w:rsid w:val="59D45439"/>
    <w:rsid w:val="59EA3B96"/>
    <w:rsid w:val="59EC4CC6"/>
    <w:rsid w:val="5A227D6A"/>
    <w:rsid w:val="5A451DFC"/>
    <w:rsid w:val="5A453EF9"/>
    <w:rsid w:val="5A542D66"/>
    <w:rsid w:val="5A591FE7"/>
    <w:rsid w:val="5A891E73"/>
    <w:rsid w:val="5AD00FD7"/>
    <w:rsid w:val="5B2B6E8F"/>
    <w:rsid w:val="5B3B13C3"/>
    <w:rsid w:val="5B754427"/>
    <w:rsid w:val="5B787F49"/>
    <w:rsid w:val="5B903340"/>
    <w:rsid w:val="5B937C44"/>
    <w:rsid w:val="5C0D11DA"/>
    <w:rsid w:val="5C3F35F5"/>
    <w:rsid w:val="5C505739"/>
    <w:rsid w:val="5C891773"/>
    <w:rsid w:val="5C8F00EC"/>
    <w:rsid w:val="5C9B2A98"/>
    <w:rsid w:val="5CAE7DAA"/>
    <w:rsid w:val="5CC52CEF"/>
    <w:rsid w:val="5CD119D1"/>
    <w:rsid w:val="5D1F015B"/>
    <w:rsid w:val="5D2872FD"/>
    <w:rsid w:val="5D520867"/>
    <w:rsid w:val="5D5573AF"/>
    <w:rsid w:val="5D6B6FD1"/>
    <w:rsid w:val="5D7C7560"/>
    <w:rsid w:val="5D936F22"/>
    <w:rsid w:val="5DA94F5E"/>
    <w:rsid w:val="5E3B000D"/>
    <w:rsid w:val="5E6F0DAF"/>
    <w:rsid w:val="5E885064"/>
    <w:rsid w:val="5EB957FC"/>
    <w:rsid w:val="5F0B5FAE"/>
    <w:rsid w:val="5F283F74"/>
    <w:rsid w:val="5F381BF8"/>
    <w:rsid w:val="5F3A0C88"/>
    <w:rsid w:val="5F401F7B"/>
    <w:rsid w:val="5F596E3A"/>
    <w:rsid w:val="5F65648F"/>
    <w:rsid w:val="5F6F73AC"/>
    <w:rsid w:val="5FBB0409"/>
    <w:rsid w:val="5FD20B09"/>
    <w:rsid w:val="5FD7C66C"/>
    <w:rsid w:val="5FEF3785"/>
    <w:rsid w:val="5FEF3A31"/>
    <w:rsid w:val="5FF22F23"/>
    <w:rsid w:val="5FF37E02"/>
    <w:rsid w:val="5FF945DE"/>
    <w:rsid w:val="5FFE40F3"/>
    <w:rsid w:val="602B2A51"/>
    <w:rsid w:val="60505C08"/>
    <w:rsid w:val="607B6819"/>
    <w:rsid w:val="60B73066"/>
    <w:rsid w:val="60BC74B3"/>
    <w:rsid w:val="613053A7"/>
    <w:rsid w:val="613F3992"/>
    <w:rsid w:val="617931C5"/>
    <w:rsid w:val="619E53CD"/>
    <w:rsid w:val="619F51F8"/>
    <w:rsid w:val="61AC3D40"/>
    <w:rsid w:val="61AD44A5"/>
    <w:rsid w:val="61CB0D64"/>
    <w:rsid w:val="61F646BD"/>
    <w:rsid w:val="620607DA"/>
    <w:rsid w:val="6235447C"/>
    <w:rsid w:val="62597128"/>
    <w:rsid w:val="626130C8"/>
    <w:rsid w:val="6264532E"/>
    <w:rsid w:val="62761840"/>
    <w:rsid w:val="627D1C22"/>
    <w:rsid w:val="62F86DA8"/>
    <w:rsid w:val="62FB2406"/>
    <w:rsid w:val="62FC4D9A"/>
    <w:rsid w:val="63020E27"/>
    <w:rsid w:val="632D219E"/>
    <w:rsid w:val="633D6898"/>
    <w:rsid w:val="635309A5"/>
    <w:rsid w:val="635F28C6"/>
    <w:rsid w:val="63C00E1C"/>
    <w:rsid w:val="63D619C7"/>
    <w:rsid w:val="63E86D02"/>
    <w:rsid w:val="63FB4F42"/>
    <w:rsid w:val="640C794E"/>
    <w:rsid w:val="642E5700"/>
    <w:rsid w:val="646C5D37"/>
    <w:rsid w:val="6471357F"/>
    <w:rsid w:val="64F46E4E"/>
    <w:rsid w:val="65235926"/>
    <w:rsid w:val="653A049E"/>
    <w:rsid w:val="654752E1"/>
    <w:rsid w:val="6548166D"/>
    <w:rsid w:val="655A6271"/>
    <w:rsid w:val="656537D7"/>
    <w:rsid w:val="657F7E66"/>
    <w:rsid w:val="659461D7"/>
    <w:rsid w:val="65AE0D34"/>
    <w:rsid w:val="65F65ACF"/>
    <w:rsid w:val="66001F52"/>
    <w:rsid w:val="660B7CE7"/>
    <w:rsid w:val="660D1619"/>
    <w:rsid w:val="660F069E"/>
    <w:rsid w:val="6629034F"/>
    <w:rsid w:val="663F2759"/>
    <w:rsid w:val="6655428F"/>
    <w:rsid w:val="66A209DB"/>
    <w:rsid w:val="66C407AC"/>
    <w:rsid w:val="66CD42F7"/>
    <w:rsid w:val="66E15C79"/>
    <w:rsid w:val="66E444F5"/>
    <w:rsid w:val="66EC120C"/>
    <w:rsid w:val="66F31AE6"/>
    <w:rsid w:val="67115728"/>
    <w:rsid w:val="672467DD"/>
    <w:rsid w:val="672F6B68"/>
    <w:rsid w:val="673B4C41"/>
    <w:rsid w:val="67404AB2"/>
    <w:rsid w:val="674D06FF"/>
    <w:rsid w:val="67541B1D"/>
    <w:rsid w:val="676F4D4B"/>
    <w:rsid w:val="67A40584"/>
    <w:rsid w:val="67D634A1"/>
    <w:rsid w:val="67DE04F6"/>
    <w:rsid w:val="67EA0C38"/>
    <w:rsid w:val="682D08F8"/>
    <w:rsid w:val="68B825D3"/>
    <w:rsid w:val="68D94352"/>
    <w:rsid w:val="69281648"/>
    <w:rsid w:val="693B1895"/>
    <w:rsid w:val="69B85EEF"/>
    <w:rsid w:val="69C636D7"/>
    <w:rsid w:val="69DC728A"/>
    <w:rsid w:val="69FD196F"/>
    <w:rsid w:val="6A133FD1"/>
    <w:rsid w:val="6A274D0E"/>
    <w:rsid w:val="6A4832BE"/>
    <w:rsid w:val="6A4F771D"/>
    <w:rsid w:val="6A5B1A36"/>
    <w:rsid w:val="6A6800FE"/>
    <w:rsid w:val="6A7D2AA2"/>
    <w:rsid w:val="6A7E5DD9"/>
    <w:rsid w:val="6A9D2266"/>
    <w:rsid w:val="6AB05774"/>
    <w:rsid w:val="6ABC3F21"/>
    <w:rsid w:val="6AC90F4F"/>
    <w:rsid w:val="6ACF6DCD"/>
    <w:rsid w:val="6AD436AC"/>
    <w:rsid w:val="6AEB060C"/>
    <w:rsid w:val="6B0B3913"/>
    <w:rsid w:val="6B2608EE"/>
    <w:rsid w:val="6B4E56C0"/>
    <w:rsid w:val="6B6612C2"/>
    <w:rsid w:val="6B786A2F"/>
    <w:rsid w:val="6BC93753"/>
    <w:rsid w:val="6BD16AB6"/>
    <w:rsid w:val="6C2806AE"/>
    <w:rsid w:val="6CC47EC5"/>
    <w:rsid w:val="6CDD06D1"/>
    <w:rsid w:val="6CEC1E52"/>
    <w:rsid w:val="6CFA2ADC"/>
    <w:rsid w:val="6D255569"/>
    <w:rsid w:val="6D3B3CA9"/>
    <w:rsid w:val="6D57293A"/>
    <w:rsid w:val="6D6C5692"/>
    <w:rsid w:val="6D6D1D45"/>
    <w:rsid w:val="6DA369B9"/>
    <w:rsid w:val="6DB13221"/>
    <w:rsid w:val="6DEC4F4A"/>
    <w:rsid w:val="6DF46020"/>
    <w:rsid w:val="6E1F5762"/>
    <w:rsid w:val="6E34666E"/>
    <w:rsid w:val="6E6525C4"/>
    <w:rsid w:val="6E715849"/>
    <w:rsid w:val="6E74356A"/>
    <w:rsid w:val="6E817ADE"/>
    <w:rsid w:val="6EE16303"/>
    <w:rsid w:val="6F004DFA"/>
    <w:rsid w:val="6F0168C2"/>
    <w:rsid w:val="6F3000C4"/>
    <w:rsid w:val="6F4F3D5B"/>
    <w:rsid w:val="6F8753C1"/>
    <w:rsid w:val="6FBE5432"/>
    <w:rsid w:val="6FE43D72"/>
    <w:rsid w:val="70340053"/>
    <w:rsid w:val="70AF27C3"/>
    <w:rsid w:val="70AF5CE0"/>
    <w:rsid w:val="70C610A1"/>
    <w:rsid w:val="70CB6F01"/>
    <w:rsid w:val="70CC0928"/>
    <w:rsid w:val="70EA7934"/>
    <w:rsid w:val="713A208B"/>
    <w:rsid w:val="713A3719"/>
    <w:rsid w:val="715951C8"/>
    <w:rsid w:val="7177298F"/>
    <w:rsid w:val="71EB4B74"/>
    <w:rsid w:val="71F92D9F"/>
    <w:rsid w:val="720C7D2B"/>
    <w:rsid w:val="723A5BF5"/>
    <w:rsid w:val="724C384C"/>
    <w:rsid w:val="72501680"/>
    <w:rsid w:val="72555146"/>
    <w:rsid w:val="72595BF0"/>
    <w:rsid w:val="72612574"/>
    <w:rsid w:val="726A63B9"/>
    <w:rsid w:val="728B3BA0"/>
    <w:rsid w:val="72A84BF8"/>
    <w:rsid w:val="72B501F5"/>
    <w:rsid w:val="72DC06B8"/>
    <w:rsid w:val="72EB7577"/>
    <w:rsid w:val="72EE4601"/>
    <w:rsid w:val="732F7AE3"/>
    <w:rsid w:val="735D03DE"/>
    <w:rsid w:val="73D56F11"/>
    <w:rsid w:val="73EC7349"/>
    <w:rsid w:val="742A692C"/>
    <w:rsid w:val="748165ED"/>
    <w:rsid w:val="748F0E74"/>
    <w:rsid w:val="7498206C"/>
    <w:rsid w:val="749A5865"/>
    <w:rsid w:val="74B05CC3"/>
    <w:rsid w:val="74E32DF5"/>
    <w:rsid w:val="752D6CC2"/>
    <w:rsid w:val="75322973"/>
    <w:rsid w:val="759C3CD4"/>
    <w:rsid w:val="75AA676E"/>
    <w:rsid w:val="75C957C5"/>
    <w:rsid w:val="75CA7C16"/>
    <w:rsid w:val="75CE0477"/>
    <w:rsid w:val="760D0512"/>
    <w:rsid w:val="76105F95"/>
    <w:rsid w:val="763E5CF6"/>
    <w:rsid w:val="76526DD7"/>
    <w:rsid w:val="76582870"/>
    <w:rsid w:val="766C30F5"/>
    <w:rsid w:val="76780D7F"/>
    <w:rsid w:val="769052FA"/>
    <w:rsid w:val="76E733F5"/>
    <w:rsid w:val="76F870B2"/>
    <w:rsid w:val="77051025"/>
    <w:rsid w:val="770D617C"/>
    <w:rsid w:val="77223C50"/>
    <w:rsid w:val="772F1484"/>
    <w:rsid w:val="773A79F9"/>
    <w:rsid w:val="77570BA2"/>
    <w:rsid w:val="77575F50"/>
    <w:rsid w:val="77AE0E60"/>
    <w:rsid w:val="77C81191"/>
    <w:rsid w:val="77CB1BE9"/>
    <w:rsid w:val="782E05EE"/>
    <w:rsid w:val="782E76F3"/>
    <w:rsid w:val="7868353D"/>
    <w:rsid w:val="786C7E08"/>
    <w:rsid w:val="78747788"/>
    <w:rsid w:val="7876105A"/>
    <w:rsid w:val="787A2C75"/>
    <w:rsid w:val="78AB2281"/>
    <w:rsid w:val="78D84C38"/>
    <w:rsid w:val="78DB32EA"/>
    <w:rsid w:val="78E11CEC"/>
    <w:rsid w:val="78E2348E"/>
    <w:rsid w:val="79314405"/>
    <w:rsid w:val="79432D99"/>
    <w:rsid w:val="794E1393"/>
    <w:rsid w:val="79653C5A"/>
    <w:rsid w:val="796669AD"/>
    <w:rsid w:val="796D012F"/>
    <w:rsid w:val="796E60FA"/>
    <w:rsid w:val="7992396A"/>
    <w:rsid w:val="79C144AA"/>
    <w:rsid w:val="79C3776A"/>
    <w:rsid w:val="79F96742"/>
    <w:rsid w:val="7A096AB6"/>
    <w:rsid w:val="7A605AE5"/>
    <w:rsid w:val="7A774322"/>
    <w:rsid w:val="7A882C7E"/>
    <w:rsid w:val="7A8F7013"/>
    <w:rsid w:val="7A9D356C"/>
    <w:rsid w:val="7AC43C1A"/>
    <w:rsid w:val="7AD17841"/>
    <w:rsid w:val="7ADA7B9A"/>
    <w:rsid w:val="7AE70AFF"/>
    <w:rsid w:val="7AF237D2"/>
    <w:rsid w:val="7B016BBE"/>
    <w:rsid w:val="7B03275B"/>
    <w:rsid w:val="7B042314"/>
    <w:rsid w:val="7B16210E"/>
    <w:rsid w:val="7B1E293A"/>
    <w:rsid w:val="7B486335"/>
    <w:rsid w:val="7B4A2B0A"/>
    <w:rsid w:val="7B645523"/>
    <w:rsid w:val="7B76078F"/>
    <w:rsid w:val="7B8330C0"/>
    <w:rsid w:val="7BAC0843"/>
    <w:rsid w:val="7BC657B7"/>
    <w:rsid w:val="7BDD20DB"/>
    <w:rsid w:val="7BE5060C"/>
    <w:rsid w:val="7C080938"/>
    <w:rsid w:val="7C0B5FDE"/>
    <w:rsid w:val="7C431095"/>
    <w:rsid w:val="7C9162A3"/>
    <w:rsid w:val="7CDF0EBF"/>
    <w:rsid w:val="7D716DC3"/>
    <w:rsid w:val="7D7B1DE5"/>
    <w:rsid w:val="7D851D2A"/>
    <w:rsid w:val="7D855720"/>
    <w:rsid w:val="7D995FC1"/>
    <w:rsid w:val="7D9C7C9B"/>
    <w:rsid w:val="7DB3242C"/>
    <w:rsid w:val="7DED6373"/>
    <w:rsid w:val="7DF94BCB"/>
    <w:rsid w:val="7E107B4F"/>
    <w:rsid w:val="7E174AC3"/>
    <w:rsid w:val="7E2A0948"/>
    <w:rsid w:val="7E3A030C"/>
    <w:rsid w:val="7E3B13FE"/>
    <w:rsid w:val="7E6469A9"/>
    <w:rsid w:val="7E6A4996"/>
    <w:rsid w:val="7E715E83"/>
    <w:rsid w:val="7E7511EE"/>
    <w:rsid w:val="7E8137BB"/>
    <w:rsid w:val="7EA47E85"/>
    <w:rsid w:val="7EA65EEE"/>
    <w:rsid w:val="7EB55A3E"/>
    <w:rsid w:val="7EB649D3"/>
    <w:rsid w:val="7EB748CC"/>
    <w:rsid w:val="7ED91211"/>
    <w:rsid w:val="7EE122AF"/>
    <w:rsid w:val="7EFC7DBA"/>
    <w:rsid w:val="7F1C316C"/>
    <w:rsid w:val="7F2F6424"/>
    <w:rsid w:val="7F441DBA"/>
    <w:rsid w:val="7F7FBDC4"/>
    <w:rsid w:val="7FB6284A"/>
    <w:rsid w:val="7FD21F15"/>
    <w:rsid w:val="7FED0683"/>
    <w:rsid w:val="7FF41CFB"/>
    <w:rsid w:val="7FFF3656"/>
    <w:rsid w:val="FECB3EA4"/>
    <w:rsid w:val="FFBF338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next w:val="1"/>
    <w:qFormat/>
    <w:uiPriority w:val="0"/>
    <w:pPr>
      <w:keepNext/>
      <w:widowControl w:val="0"/>
      <w:snapToGrid w:val="0"/>
      <w:spacing w:line="360" w:lineRule="atLeast"/>
      <w:jc w:val="both"/>
      <w:outlineLvl w:val="0"/>
    </w:pPr>
    <w:rPr>
      <w:rFonts w:ascii="宋体" w:hAnsi="Calibri" w:eastAsia="宋体" w:cs="Times New Roman"/>
      <w:kern w:val="2"/>
      <w:sz w:val="28"/>
      <w:lang w:val="en-US" w:eastAsia="zh-CN" w:bidi="ar-SA"/>
    </w:rPr>
  </w:style>
  <w:style w:type="paragraph" w:styleId="5">
    <w:name w:val="heading 2"/>
    <w:basedOn w:val="1"/>
    <w:next w:val="1"/>
    <w:unhideWhenUsed/>
    <w:qFormat/>
    <w:uiPriority w:val="0"/>
    <w:pPr>
      <w:keepNext/>
      <w:keepLines/>
      <w:spacing w:before="260" w:after="260" w:line="416" w:lineRule="auto"/>
      <w:outlineLvl w:val="1"/>
    </w:pPr>
    <w:rPr>
      <w:rFonts w:ascii="Cambria" w:hAnsi="Cambria" w:eastAsia="宋体" w:cs="Times New Roman"/>
      <w:b/>
      <w:bCs/>
      <w:szCs w:val="32"/>
    </w:rPr>
  </w:style>
  <w:style w:type="paragraph" w:styleId="6">
    <w:name w:val="heading 4"/>
    <w:basedOn w:val="5"/>
    <w:next w:val="1"/>
    <w:unhideWhenUsed/>
    <w:qFormat/>
    <w:uiPriority w:val="0"/>
    <w:pPr>
      <w:keepNext w:val="0"/>
      <w:keepLines w:val="0"/>
      <w:adjustRightInd w:val="0"/>
      <w:spacing w:before="0" w:after="0" w:line="560" w:lineRule="atLeast"/>
      <w:ind w:left="557"/>
      <w:textAlignment w:val="baseline"/>
      <w:outlineLvl w:val="3"/>
    </w:pPr>
    <w:rPr>
      <w:rFonts w:ascii="宋体" w:hAnsi="宋体" w:eastAsia="仿宋_GB2312" w:cs="Times New Roman"/>
      <w:b w:val="0"/>
      <w:bCs w:val="0"/>
      <w:kern w:val="0"/>
      <w:szCs w:val="20"/>
    </w:rPr>
  </w:style>
  <w:style w:type="character" w:default="1" w:styleId="23">
    <w:name w:val="Default Paragraph Font"/>
    <w:unhideWhenUsed/>
    <w:qFormat/>
    <w:uiPriority w:val="1"/>
  </w:style>
  <w:style w:type="table" w:default="1" w:styleId="21">
    <w:name w:val="Normal Table"/>
    <w:unhideWhenUsed/>
    <w:qFormat/>
    <w:uiPriority w:val="99"/>
    <w:tblPr>
      <w:tblStyle w:val="21"/>
      <w:tblCellMar>
        <w:top w:w="0" w:type="dxa"/>
        <w:left w:w="108" w:type="dxa"/>
        <w:bottom w:w="0" w:type="dxa"/>
        <w:right w:w="108" w:type="dxa"/>
      </w:tblCellMar>
    </w:tblPr>
  </w:style>
  <w:style w:type="paragraph" w:styleId="2">
    <w:name w:val="Body Text"/>
    <w:basedOn w:val="1"/>
    <w:next w:val="3"/>
    <w:qFormat/>
    <w:uiPriority w:val="99"/>
    <w:pPr>
      <w:ind w:left="100" w:leftChars="100" w:right="100" w:rightChars="100"/>
    </w:pPr>
    <w:rPr>
      <w:rFonts w:eastAsia="宋体" w:cs="Times New Roman"/>
      <w:kern w:val="2"/>
      <w:sz w:val="21"/>
    </w:rPr>
  </w:style>
  <w:style w:type="paragraph" w:customStyle="1" w:styleId="3">
    <w:name w:val="默认"/>
    <w:qFormat/>
    <w:uiPriority w:val="0"/>
    <w:rPr>
      <w:rFonts w:ascii="Helvetica" w:hAnsi="Helvetica" w:eastAsia="Helvetica" w:cs="Helvetica"/>
      <w:color w:val="000000"/>
      <w:kern w:val="2"/>
      <w:sz w:val="22"/>
      <w:szCs w:val="22"/>
      <w:lang w:val="en-US" w:eastAsia="zh-CN" w:bidi="ar-SA"/>
    </w:rPr>
  </w:style>
  <w:style w:type="paragraph" w:styleId="7">
    <w:name w:val="Normal Indent"/>
    <w:basedOn w:val="1"/>
    <w:next w:val="1"/>
    <w:qFormat/>
    <w:uiPriority w:val="0"/>
    <w:pPr>
      <w:ind w:firstLine="420" w:firstLineChars="200"/>
    </w:pPr>
  </w:style>
  <w:style w:type="paragraph" w:styleId="8">
    <w:name w:val="Body Text Indent"/>
    <w:basedOn w:val="1"/>
    <w:qFormat/>
    <w:uiPriority w:val="0"/>
    <w:pPr>
      <w:spacing w:line="560" w:lineRule="exact"/>
      <w:ind w:firstLine="640" w:firstLineChars="200"/>
    </w:pPr>
    <w:rPr>
      <w:rFonts w:ascii="方正仿宋_GBK" w:eastAsia="方正仿宋_GBK"/>
      <w:kern w:val="0"/>
      <w:sz w:val="32"/>
    </w:rPr>
  </w:style>
  <w:style w:type="paragraph" w:styleId="9">
    <w:name w:val="toc 5"/>
    <w:basedOn w:val="1"/>
    <w:next w:val="1"/>
    <w:qFormat/>
    <w:uiPriority w:val="0"/>
    <w:pPr>
      <w:widowControl w:val="0"/>
      <w:spacing w:line="600" w:lineRule="exact"/>
      <w:ind w:firstLine="200" w:firstLineChars="200"/>
    </w:pPr>
    <w:rPr>
      <w:rFonts w:ascii="方正黑体_GBK" w:hAnsi="Calibri" w:eastAsia="方正黑体_GBK" w:cs="方正黑体_GBK"/>
      <w:kern w:val="2"/>
      <w:sz w:val="32"/>
      <w:szCs w:val="32"/>
      <w:lang w:val="en-US" w:eastAsia="zh-CN" w:bidi="ar-SA"/>
    </w:rPr>
  </w:style>
  <w:style w:type="paragraph" w:styleId="10">
    <w:name w:val="Plain Text"/>
    <w:basedOn w:val="1"/>
    <w:qFormat/>
    <w:uiPriority w:val="0"/>
    <w:rPr>
      <w:rFonts w:ascii="宋体" w:hAnsi="Courier New" w:cs="Courier New"/>
      <w:szCs w:val="21"/>
    </w:rPr>
  </w:style>
  <w:style w:type="paragraph" w:styleId="11">
    <w:name w:val="footer"/>
    <w:basedOn w:val="1"/>
    <w:next w:val="12"/>
    <w:qFormat/>
    <w:uiPriority w:val="0"/>
    <w:pPr>
      <w:tabs>
        <w:tab w:val="center" w:pos="4153"/>
        <w:tab w:val="right" w:pos="8306"/>
      </w:tabs>
      <w:snapToGrid w:val="0"/>
      <w:jc w:val="left"/>
    </w:pPr>
    <w:rPr>
      <w:sz w:val="18"/>
    </w:rPr>
  </w:style>
  <w:style w:type="paragraph" w:customStyle="1" w:styleId="12">
    <w:name w:val="索引 51"/>
    <w:basedOn w:val="1"/>
    <w:next w:val="1"/>
    <w:qFormat/>
    <w:uiPriority w:val="0"/>
    <w:pPr>
      <w:ind w:left="1680"/>
    </w:p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next w:val="1"/>
    <w:qFormat/>
    <w:uiPriority w:val="39"/>
    <w:pPr>
      <w:widowControl w:val="0"/>
      <w:spacing w:before="120" w:after="120" w:line="574" w:lineRule="exact"/>
      <w:jc w:val="left"/>
    </w:pPr>
    <w:rPr>
      <w:rFonts w:ascii="Calibri" w:hAnsi="Calibri" w:eastAsia="黑体" w:cs="Times New Roman"/>
      <w:bCs/>
      <w:caps/>
      <w:kern w:val="2"/>
      <w:sz w:val="32"/>
      <w:lang w:val="en-US" w:eastAsia="zh-CN" w:bidi="ar-SA"/>
    </w:rPr>
  </w:style>
  <w:style w:type="paragraph" w:styleId="15">
    <w:name w:val="toc 2"/>
    <w:next w:val="1"/>
    <w:qFormat/>
    <w:uiPriority w:val="39"/>
    <w:pPr>
      <w:widowControl w:val="0"/>
      <w:spacing w:line="574" w:lineRule="exact"/>
      <w:ind w:left="278"/>
      <w:jc w:val="left"/>
    </w:pPr>
    <w:rPr>
      <w:rFonts w:ascii="Calibri" w:hAnsi="Calibri" w:eastAsia="方正仿宋_GBK" w:cs="Times New Roman"/>
      <w:smallCaps/>
      <w:kern w:val="2"/>
      <w:sz w:val="30"/>
      <w:lang w:val="en-US" w:eastAsia="zh-CN" w:bidi="ar-SA"/>
    </w:rPr>
  </w:style>
  <w:style w:type="paragraph" w:styleId="16">
    <w:name w:val="Body Text 2"/>
    <w:basedOn w:val="1"/>
    <w:qFormat/>
    <w:uiPriority w:val="0"/>
    <w:pPr>
      <w:spacing w:before="60" w:after="60"/>
    </w:pPr>
    <w:rPr>
      <w:rFonts w:ascii="Arial" w:hAnsi="Arial" w:eastAsia="仿宋_GB2312"/>
      <w:spacing w:val="-5"/>
      <w:lang w:val="zh-CN" w:eastAsia="en-US"/>
    </w:rPr>
  </w:style>
  <w:style w:type="paragraph" w:styleId="1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8">
    <w:name w:val="Normal (Web)"/>
    <w:basedOn w:val="1"/>
    <w:qFormat/>
    <w:uiPriority w:val="0"/>
    <w:pPr>
      <w:spacing w:beforeAutospacing="1" w:afterAutospacing="1"/>
      <w:jc w:val="left"/>
    </w:pPr>
    <w:rPr>
      <w:rFonts w:cs="Times New Roman"/>
      <w:kern w:val="0"/>
      <w:sz w:val="24"/>
    </w:rPr>
  </w:style>
  <w:style w:type="paragraph" w:styleId="19">
    <w:name w:val="Body Text First Indent"/>
    <w:basedOn w:val="2"/>
    <w:qFormat/>
    <w:uiPriority w:val="0"/>
    <w:pPr>
      <w:autoSpaceDE w:val="0"/>
      <w:autoSpaceDN w:val="0"/>
      <w:spacing w:line="360" w:lineRule="auto"/>
      <w:ind w:firstLine="100" w:firstLineChars="100"/>
    </w:pPr>
  </w:style>
  <w:style w:type="paragraph" w:styleId="20">
    <w:name w:val="Body Text First Indent 2"/>
    <w:basedOn w:val="8"/>
    <w:qFormat/>
    <w:uiPriority w:val="0"/>
    <w:pPr>
      <w:ind w:firstLine="420"/>
    </w:pPr>
  </w:style>
  <w:style w:type="table" w:styleId="22">
    <w:name w:val="Table Grid"/>
    <w:basedOn w:val="21"/>
    <w:qFormat/>
    <w:uiPriority w:val="0"/>
    <w:pPr>
      <w:widowControl w:val="0"/>
      <w:jc w:val="both"/>
    </w:p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0"/>
    <w:rPr>
      <w:b/>
    </w:rPr>
  </w:style>
  <w:style w:type="character" w:styleId="25">
    <w:name w:val="Emphasis"/>
    <w:basedOn w:val="23"/>
    <w:qFormat/>
    <w:uiPriority w:val="0"/>
    <w:rPr>
      <w:i/>
    </w:rPr>
  </w:style>
  <w:style w:type="paragraph" w:customStyle="1" w:styleId="26">
    <w:name w:val="UserStyle_0"/>
    <w:next w:val="1"/>
    <w:qFormat/>
    <w:uiPriority w:val="0"/>
    <w:pPr>
      <w:textAlignment w:val="baseline"/>
    </w:pPr>
    <w:rPr>
      <w:rFonts w:ascii="Arial" w:hAnsi="Arial" w:eastAsia="宋体" w:cs="Times New Roman"/>
      <w:color w:val="000000"/>
      <w:sz w:val="24"/>
      <w:szCs w:val="24"/>
      <w:lang w:val="en-US" w:eastAsia="zh-CN" w:bidi="ar-SA"/>
    </w:rPr>
  </w:style>
  <w:style w:type="paragraph" w:customStyle="1" w:styleId="27">
    <w:name w:val="PlainText"/>
    <w:basedOn w:val="1"/>
    <w:qFormat/>
    <w:uiPriority w:val="0"/>
    <w:pPr>
      <w:spacing w:line="594" w:lineRule="exact"/>
      <w:jc w:val="both"/>
      <w:textAlignment w:val="baseline"/>
    </w:pPr>
    <w:rPr>
      <w:rFonts w:ascii="宋体" w:hAnsi="Courier New" w:eastAsia="宋体"/>
      <w:kern w:val="2"/>
      <w:sz w:val="21"/>
      <w:szCs w:val="21"/>
      <w:lang w:val="en-US" w:eastAsia="zh-CN" w:bidi="ar-SA"/>
    </w:rPr>
  </w:style>
  <w:style w:type="paragraph" w:customStyle="1" w:styleId="28">
    <w:name w:val="Default"/>
    <w:basedOn w:val="1"/>
    <w:next w:val="1"/>
    <w:qFormat/>
    <w:uiPriority w:val="0"/>
    <w:pPr>
      <w:keepNext w:val="0"/>
      <w:keepLines w:val="0"/>
      <w:widowControl w:val="0"/>
      <w:suppressLineNumbers w:val="0"/>
      <w:autoSpaceDE w:val="0"/>
      <w:autoSpaceDN w:val="0"/>
      <w:adjustRightInd w:val="0"/>
      <w:spacing w:before="0" w:beforeAutospacing="0" w:after="0" w:afterAutospacing="0" w:line="240" w:lineRule="auto"/>
      <w:ind w:left="0" w:right="0"/>
      <w:jc w:val="left"/>
    </w:pPr>
    <w:rPr>
      <w:rFonts w:hint="eastAsia" w:ascii="方正楷体_GBK" w:hAnsi="Calibri" w:eastAsia="方正楷体_GBK" w:cs="方正楷体_GBK"/>
      <w:color w:val="000000"/>
      <w:kern w:val="0"/>
      <w:sz w:val="24"/>
      <w:szCs w:val="24"/>
      <w:lang w:val="en-US" w:eastAsia="zh-CN" w:bidi="ar"/>
    </w:rPr>
  </w:style>
  <w:style w:type="paragraph" w:customStyle="1" w:styleId="29">
    <w:name w:val="_Style 3"/>
    <w:next w:val="1"/>
    <w:qFormat/>
    <w:uiPriority w:val="0"/>
    <w:pPr>
      <w:keepNext/>
      <w:keepLines/>
      <w:widowControl/>
      <w:snapToGrid/>
      <w:spacing w:before="240" w:beforeLines="0" w:line="259" w:lineRule="auto"/>
      <w:jc w:val="left"/>
      <w:outlineLvl w:val="9"/>
    </w:pPr>
    <w:rPr>
      <w:rFonts w:ascii="Calibri Light" w:hAnsi="Calibri Light" w:eastAsia="宋体" w:cs="Times New Roman"/>
      <w:color w:val="2E74B5"/>
      <w:kern w:val="0"/>
      <w:sz w:val="32"/>
      <w:szCs w:val="32"/>
      <w:lang w:val="en-US" w:eastAsia="zh-CN" w:bidi="ar-SA"/>
    </w:rPr>
  </w:style>
  <w:style w:type="character" w:customStyle="1" w:styleId="30">
    <w:name w:val="NormalCharacter"/>
    <w:link w:val="31"/>
    <w:semiHidden/>
    <w:qFormat/>
    <w:uiPriority w:val="0"/>
  </w:style>
  <w:style w:type="paragraph" w:customStyle="1" w:styleId="31">
    <w:name w:val="UserStyle_1"/>
    <w:basedOn w:val="1"/>
    <w:link w:val="30"/>
    <w:semiHidden/>
    <w:qFormat/>
    <w:uiPriority w:val="0"/>
    <w:pPr>
      <w:jc w:val="both"/>
      <w:textAlignment w:val="baseline"/>
    </w:pPr>
  </w:style>
  <w:style w:type="character" w:customStyle="1" w:styleId="32">
    <w:name w:val="font21"/>
    <w:basedOn w:val="23"/>
    <w:uiPriority w:val="0"/>
    <w:rPr>
      <w:rFonts w:hint="eastAsia" w:ascii="方正仿宋_GBK" w:hAnsi="方正仿宋_GBK" w:eastAsia="方正仿宋_GBK" w:cs="方正仿宋_GBK"/>
      <w:color w:val="000000"/>
      <w:sz w:val="24"/>
      <w:szCs w:val="24"/>
      <w:u w:val="none"/>
    </w:rPr>
  </w:style>
  <w:style w:type="character" w:customStyle="1" w:styleId="33">
    <w:name w:val="font101"/>
    <w:basedOn w:val="23"/>
    <w:uiPriority w:val="0"/>
    <w:rPr>
      <w:rFonts w:hint="default" w:ascii="Times New Roman" w:hAnsi="Times New Roman" w:cs="Times New Roman"/>
      <w:color w:val="000000"/>
      <w:sz w:val="24"/>
      <w:szCs w:val="24"/>
      <w:u w:val="none"/>
    </w:rPr>
  </w:style>
  <w:style w:type="character" w:customStyle="1" w:styleId="34">
    <w:name w:val="font91"/>
    <w:basedOn w:val="23"/>
    <w:uiPriority w:val="0"/>
    <w:rPr>
      <w:rFonts w:hint="eastAsia" w:ascii="方正仿宋_GBK" w:hAnsi="方正仿宋_GBK" w:eastAsia="方正仿宋_GBK" w:cs="方正仿宋_GBK"/>
      <w:color w:val="000000"/>
      <w:sz w:val="24"/>
      <w:szCs w:val="24"/>
      <w:u w:val="none"/>
    </w:rPr>
  </w:style>
  <w:style w:type="character" w:customStyle="1" w:styleId="35">
    <w:name w:val="font41"/>
    <w:basedOn w:val="23"/>
    <w:qFormat/>
    <w:uiPriority w:val="0"/>
    <w:rPr>
      <w:rFonts w:ascii="仿宋" w:hAnsi="仿宋" w:eastAsia="仿宋" w:cs="仿宋"/>
      <w:color w:val="000000"/>
      <w:sz w:val="22"/>
      <w:szCs w:val="22"/>
      <w:u w:val="none"/>
      <w:lang w:bidi="ar-SA"/>
    </w:rPr>
  </w:style>
  <w:style w:type="character" w:customStyle="1" w:styleId="36">
    <w:name w:val="font31"/>
    <w:basedOn w:val="23"/>
    <w:qFormat/>
    <w:uiPriority w:val="0"/>
    <w:rPr>
      <w:rFonts w:ascii="仿宋" w:hAnsi="仿宋" w:eastAsia="仿宋" w:cs="仿宋"/>
      <w:color w:val="000000"/>
      <w:sz w:val="20"/>
      <w:szCs w:val="20"/>
      <w:u w:val="none"/>
      <w:lang w:bidi="ar-SA"/>
    </w:rPr>
  </w:style>
  <w:style w:type="character" w:customStyle="1" w:styleId="37">
    <w:name w:val="font11"/>
    <w:basedOn w:val="23"/>
    <w:qFormat/>
    <w:uiPriority w:val="0"/>
    <w:rPr>
      <w:rFonts w:ascii="宋体" w:hAnsi="宋体" w:eastAsia="宋体" w:cs="宋体"/>
      <w:color w:val="000000"/>
      <w:sz w:val="22"/>
      <w:szCs w:val="22"/>
      <w:u w:val="none"/>
      <w:lang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textInnerWidth="-15" textInnerHeight="-15"/>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52</Words>
  <Characters>67</Characters>
  <Lines>1</Lines>
  <Paragraphs>1</Paragraphs>
  <TotalTime>77</TotalTime>
  <ScaleCrop>false</ScaleCrop>
  <LinksUpToDate>false</LinksUpToDate>
  <CharactersWithSpaces>118</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2021-06-04T01:44:00Z</dcterms:created>
  <dc:creator>T</dc:creator>
  <cp:lastModifiedBy> </cp:lastModifiedBy>
  <cp:lastPrinted>2025-05-13T09:53:06Z</cp:lastPrinted>
  <dcterms:modified xsi:type="dcterms:W3CDTF">2025-06-20T03:31:48Z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BE608FC0D89A430788C0FDD5FAF70FC9</vt:lpwstr>
  </property>
  <property fmtid="{D5CDD505-2E9C-101B-9397-08002B2CF9AE}" pid="4" name="KSOSaveFontToCloudKey">
    <vt:lpwstr>0_btnclosed</vt:lpwstr>
  </property>
</Properties>
</file>